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44E1C" w14:textId="77777777" w:rsidR="00E77FE0" w:rsidRPr="00634861" w:rsidRDefault="00E77FE0" w:rsidP="00E77FE0">
      <w:pPr>
        <w:pStyle w:val="Heading1"/>
        <w:rPr>
          <w:b/>
          <w:bCs/>
          <w:color w:val="auto"/>
        </w:rPr>
      </w:pPr>
      <w:r w:rsidRPr="00634861">
        <w:rPr>
          <w:color w:val="auto"/>
        </w:rPr>
        <w:t>Self-Service Section</w:t>
      </w:r>
    </w:p>
    <w:p w14:paraId="4310C21E" w14:textId="14235E73" w:rsidR="00E77FE0" w:rsidRPr="00634861" w:rsidRDefault="00E77FE0" w:rsidP="00491D28">
      <w:r w:rsidRPr="00634861">
        <w:t>Please select the appropriate header to access the type of content you are looking for, and it will take you to that section. </w:t>
      </w:r>
    </w:p>
    <w:p w14:paraId="3BAC42CB" w14:textId="06353A78" w:rsidR="00E77FE0" w:rsidRPr="00634861" w:rsidRDefault="00E77FE0" w:rsidP="00E77FE0">
      <w:pPr>
        <w:pStyle w:val="Heading1"/>
        <w:rPr>
          <w:color w:val="auto"/>
        </w:rPr>
      </w:pPr>
      <w:r w:rsidRPr="00634861">
        <w:rPr>
          <w:color w:val="auto"/>
        </w:rPr>
        <w:t>NEWLY ADMITTED STUDENT CHECKLIST</w:t>
      </w:r>
    </w:p>
    <w:p w14:paraId="5A8B426E" w14:textId="77777777" w:rsidR="00E77FE0" w:rsidRPr="00634861" w:rsidRDefault="00E77FE0" w:rsidP="00E77FE0">
      <w:r w:rsidRPr="00634861">
        <w:t>This checklist is designed to guide you through the most important steps you need to complete as a newly admitted graduate student. You do not need to complete everything at once, but completing these steps in order will help ensure a smooth start to your program.</w:t>
      </w:r>
    </w:p>
    <w:p w14:paraId="2B806A40" w14:textId="77777777" w:rsidR="00E77FE0" w:rsidRPr="00634861" w:rsidRDefault="00E77FE0" w:rsidP="00E77FE0">
      <w:pPr>
        <w:pStyle w:val="Heading2"/>
        <w:rPr>
          <w:color w:val="auto"/>
        </w:rPr>
      </w:pPr>
      <w:r w:rsidRPr="00634861">
        <w:rPr>
          <w:color w:val="auto"/>
        </w:rPr>
        <w:t>Degree Works: Your Degree, Mapped Clearly </w:t>
      </w:r>
    </w:p>
    <w:p w14:paraId="7878EF7D" w14:textId="77777777" w:rsidR="00E77FE0" w:rsidRPr="00634861" w:rsidRDefault="00E77FE0" w:rsidP="00E77FE0">
      <w:r w:rsidRPr="00634861">
        <w:t>Degree Works is the University’s official system of record for tracking academic progress. It is maintained by the Office of the University Registrar and reflects the approved curriculum requirements for your program. </w:t>
      </w:r>
    </w:p>
    <w:p w14:paraId="5288913C" w14:textId="77777777" w:rsidR="00E77FE0" w:rsidRPr="00634861" w:rsidRDefault="00E77FE0" w:rsidP="00E77FE0"/>
    <w:p w14:paraId="5C388A54" w14:textId="77777777" w:rsidR="00E77FE0" w:rsidRPr="00634861" w:rsidRDefault="00E77FE0" w:rsidP="00E77FE0">
      <w:pPr>
        <w:pStyle w:val="Heading1"/>
        <w:rPr>
          <w:b/>
          <w:bCs/>
          <w:color w:val="auto"/>
        </w:rPr>
      </w:pPr>
      <w:r w:rsidRPr="00634861">
        <w:rPr>
          <w:color w:val="auto"/>
        </w:rPr>
        <w:t>We’re Here to Support You</w:t>
      </w:r>
    </w:p>
    <w:p w14:paraId="001FA910" w14:textId="77777777" w:rsidR="00E77FE0" w:rsidRPr="00634861" w:rsidRDefault="00E77FE0" w:rsidP="00E77FE0">
      <w:r w:rsidRPr="00634861">
        <w:t>Starting a graduate program is an exciting step, and it’s normal to have questions along the way. </w:t>
      </w:r>
    </w:p>
    <w:p w14:paraId="59A5778B" w14:textId="77777777" w:rsidR="00E77FE0" w:rsidRPr="00634861" w:rsidRDefault="00E77FE0" w:rsidP="00E77FE0">
      <w:pPr>
        <w:pStyle w:val="Heading1"/>
        <w:rPr>
          <w:b/>
          <w:bCs/>
          <w:color w:val="auto"/>
        </w:rPr>
      </w:pPr>
      <w:r w:rsidRPr="00634861">
        <w:rPr>
          <w:color w:val="auto"/>
        </w:rPr>
        <w:t>YOUR ACADEMIC SUPPORT TEAM</w:t>
      </w:r>
    </w:p>
    <w:p w14:paraId="3BE7FA32" w14:textId="77777777" w:rsidR="00E77FE0" w:rsidRPr="00634861" w:rsidRDefault="00E77FE0" w:rsidP="00E77FE0">
      <w:r w:rsidRPr="00634861">
        <w:t>While your needs may evolve throughout your program, this section explains who to contact, how to connect, and what types of support are available.</w:t>
      </w:r>
    </w:p>
    <w:p w14:paraId="4D762B34" w14:textId="77777777" w:rsidR="00E77FE0" w:rsidRPr="00634861" w:rsidRDefault="00E77FE0" w:rsidP="00E77FE0">
      <w:pPr>
        <w:pStyle w:val="Heading2"/>
        <w:rPr>
          <w:color w:val="auto"/>
        </w:rPr>
      </w:pPr>
      <w:r w:rsidRPr="00634861">
        <w:rPr>
          <w:color w:val="auto"/>
        </w:rPr>
        <w:t>See Step 3: “Connect with Your Academic Support Team” in the Newly Admitted Student Checklist for step-by-step instructions for how to schedule an appointment with your assigned Academic Advisor or Success Coach.</w:t>
      </w:r>
    </w:p>
    <w:p w14:paraId="496437F7" w14:textId="48D5E4DC" w:rsidR="00E77FE0" w:rsidRPr="00634861" w:rsidRDefault="00E77FE0" w:rsidP="00E77FE0">
      <w:pPr>
        <w:pStyle w:val="Heading1"/>
        <w:rPr>
          <w:b/>
          <w:bCs/>
          <w:color w:val="auto"/>
        </w:rPr>
      </w:pPr>
      <w:r w:rsidRPr="00634861">
        <w:rPr>
          <w:color w:val="auto"/>
        </w:rPr>
        <w:t>PLANNING YOUR GRADUATE STUDIES</w:t>
      </w:r>
    </w:p>
    <w:p w14:paraId="24C3E2E9" w14:textId="77777777" w:rsidR="00E77FE0" w:rsidRPr="00634861" w:rsidRDefault="00E77FE0" w:rsidP="00E77FE0"/>
    <w:p w14:paraId="09E4D8DE" w14:textId="77777777" w:rsidR="00E77FE0" w:rsidRPr="00634861" w:rsidRDefault="00E77FE0" w:rsidP="00E77FE0">
      <w:pPr>
        <w:pStyle w:val="Heading2"/>
        <w:rPr>
          <w:color w:val="auto"/>
        </w:rPr>
      </w:pPr>
      <w:r w:rsidRPr="00634861">
        <w:rPr>
          <w:color w:val="auto"/>
        </w:rPr>
        <w:lastRenderedPageBreak/>
        <w:t>Points of Contact </w:t>
      </w:r>
    </w:p>
    <w:p w14:paraId="2B60766B" w14:textId="77777777" w:rsidR="00E77FE0" w:rsidRPr="00634861" w:rsidRDefault="00E77FE0" w:rsidP="00E77FE0">
      <w:pPr>
        <w:pStyle w:val="Heading2"/>
        <w:rPr>
          <w:color w:val="auto"/>
        </w:rPr>
      </w:pPr>
      <w:r w:rsidRPr="00634861">
        <w:rPr>
          <w:color w:val="auto"/>
        </w:rPr>
        <w:t>Rowan Programs for Military-Affiliated Students </w:t>
      </w:r>
    </w:p>
    <w:p w14:paraId="2EABC26F" w14:textId="77777777" w:rsidR="00E77FE0" w:rsidRPr="00634861" w:rsidRDefault="00E77FE0" w:rsidP="00E77FE0">
      <w:pPr>
        <w:pStyle w:val="Heading2"/>
        <w:rPr>
          <w:color w:val="auto"/>
        </w:rPr>
      </w:pPr>
      <w:r w:rsidRPr="00634861">
        <w:rPr>
          <w:color w:val="auto"/>
        </w:rPr>
        <w:t>NJ State Programs </w:t>
      </w:r>
    </w:p>
    <w:p w14:paraId="0E4EF4D1" w14:textId="77777777" w:rsidR="00E77FE0" w:rsidRPr="00634861" w:rsidRDefault="00E77FE0" w:rsidP="00E77FE0">
      <w:pPr>
        <w:pStyle w:val="Heading2"/>
        <w:rPr>
          <w:color w:val="auto"/>
        </w:rPr>
      </w:pPr>
      <w:r w:rsidRPr="00634861">
        <w:rPr>
          <w:color w:val="auto"/>
        </w:rPr>
        <w:t>Federal Programs   </w:t>
      </w:r>
    </w:p>
    <w:p w14:paraId="0612BD43" w14:textId="77777777" w:rsidR="00E77FE0" w:rsidRPr="00634861" w:rsidRDefault="00E77FE0" w:rsidP="00E77FE0">
      <w:pPr>
        <w:pStyle w:val="Heading2"/>
        <w:rPr>
          <w:color w:val="auto"/>
        </w:rPr>
      </w:pPr>
      <w:r w:rsidRPr="00634861">
        <w:rPr>
          <w:color w:val="auto"/>
        </w:rPr>
        <w:t>Community and Campus Engagement </w:t>
      </w:r>
    </w:p>
    <w:p w14:paraId="17F363D2" w14:textId="77777777" w:rsidR="00E77FE0" w:rsidRPr="00634861" w:rsidRDefault="00E77FE0" w:rsidP="00E77FE0">
      <w:r w:rsidRPr="00634861">
        <w:t>Military-affiliated students may wish to engage with the Veteran Student Organization and participate in campus events such as Military Appreciation Week and related programming. </w:t>
      </w:r>
    </w:p>
    <w:p w14:paraId="6F4936C5" w14:textId="77777777" w:rsidR="00E77FE0" w:rsidRPr="00634861" w:rsidRDefault="00E77FE0" w:rsidP="00E77FE0">
      <w:pPr>
        <w:pStyle w:val="Heading2"/>
        <w:rPr>
          <w:color w:val="auto"/>
        </w:rPr>
      </w:pPr>
      <w:r w:rsidRPr="00634861">
        <w:rPr>
          <w:color w:val="auto"/>
        </w:rPr>
        <w:t>Transfer of Graduate Coursework from Other Institutions</w:t>
      </w:r>
      <w:r w:rsidRPr="00634861">
        <w:rPr>
          <w:color w:val="auto"/>
        </w:rPr>
        <w:br/>
      </w:r>
      <w:r w:rsidRPr="00634861">
        <w:rPr>
          <w:color w:val="auto"/>
        </w:rPr>
        <w:br/>
      </w:r>
    </w:p>
    <w:p w14:paraId="66C70858" w14:textId="4EB066EB" w:rsidR="00E77FE0" w:rsidRPr="00634861" w:rsidRDefault="00E77FE0" w:rsidP="00E77FE0">
      <w:pPr>
        <w:pStyle w:val="Heading2"/>
        <w:rPr>
          <w:color w:val="auto"/>
        </w:rPr>
      </w:pPr>
      <w:r w:rsidRPr="00634861">
        <w:rPr>
          <w:color w:val="auto"/>
        </w:rPr>
        <w:t>Course Substitutions for Core Requirements</w:t>
      </w:r>
      <w:r w:rsidRPr="00634861">
        <w:rPr>
          <w:color w:val="auto"/>
        </w:rPr>
        <w:br/>
      </w:r>
    </w:p>
    <w:p w14:paraId="7C97FDA5" w14:textId="77777777" w:rsidR="00E77FE0" w:rsidRPr="00634861" w:rsidRDefault="00E77FE0" w:rsidP="00E77FE0">
      <w:pPr>
        <w:pStyle w:val="Heading2"/>
        <w:rPr>
          <w:color w:val="auto"/>
        </w:rPr>
      </w:pPr>
      <w:r w:rsidRPr="00634861">
        <w:rPr>
          <w:color w:val="auto"/>
        </w:rPr>
        <w:t>Face-to-Face Courses</w:t>
      </w:r>
    </w:p>
    <w:p w14:paraId="6DEA8F6F" w14:textId="77777777" w:rsidR="00E77FE0" w:rsidRPr="00634861" w:rsidRDefault="00E77FE0" w:rsidP="00E77FE0">
      <w:r w:rsidRPr="00634861">
        <w:rPr>
          <w:b/>
          <w:bCs/>
        </w:rPr>
        <w:br/>
      </w:r>
      <w:r w:rsidRPr="00634861">
        <w:rPr>
          <w:rStyle w:val="Heading2Char"/>
          <w:color w:val="auto"/>
        </w:rPr>
        <w:t>Online Courses</w:t>
      </w:r>
      <w:r w:rsidRPr="00634861">
        <w:rPr>
          <w:b/>
          <w:bCs/>
        </w:rPr>
        <w:br/>
      </w:r>
      <w:r w:rsidRPr="00634861">
        <w:t xml:space="preserve">Most online courses are offered in an accelerated 8-week format and are delivered through </w:t>
      </w:r>
      <w:hyperlink r:id="rId5" w:history="1">
        <w:r w:rsidRPr="00634861">
          <w:rPr>
            <w:rStyle w:val="Hyperlink"/>
            <w:color w:val="auto"/>
          </w:rPr>
          <w:t>Canvas</w:t>
        </w:r>
      </w:hyperlink>
      <w:r w:rsidRPr="00634861">
        <w:t>, </w:t>
      </w:r>
    </w:p>
    <w:p w14:paraId="5A8D9620" w14:textId="77777777" w:rsidR="00E77FE0" w:rsidRPr="00634861" w:rsidRDefault="00E77FE0" w:rsidP="00E77FE0">
      <w:r w:rsidRPr="00634861">
        <w:rPr>
          <w:rStyle w:val="Heading2Char"/>
          <w:color w:val="auto"/>
        </w:rPr>
        <w:t>Mixing Course Formats</w:t>
      </w:r>
      <w:r w:rsidRPr="00634861">
        <w:rPr>
          <w:rStyle w:val="Heading2Char"/>
          <w:color w:val="auto"/>
        </w:rPr>
        <w:br/>
      </w:r>
      <w:r w:rsidRPr="00634861">
        <w:t>Depending on program requirements and course availability, students may be able to take a combination of online and face-to-face courses within the same semester.</w:t>
      </w:r>
    </w:p>
    <w:p w14:paraId="2C45488B" w14:textId="77777777" w:rsidR="00E77FE0" w:rsidRPr="00634861" w:rsidRDefault="00E77FE0" w:rsidP="00E77FE0">
      <w:pPr>
        <w:pStyle w:val="Heading2"/>
        <w:rPr>
          <w:color w:val="auto"/>
        </w:rPr>
      </w:pPr>
      <w:r w:rsidRPr="00634861">
        <w:rPr>
          <w:color w:val="auto"/>
        </w:rPr>
        <w:t xml:space="preserve">The maximum time to </w:t>
      </w:r>
      <w:proofErr w:type="gramStart"/>
      <w:r w:rsidRPr="00634861">
        <w:rPr>
          <w:color w:val="auto"/>
        </w:rPr>
        <w:t>completion allowed</w:t>
      </w:r>
      <w:proofErr w:type="gramEnd"/>
      <w:r w:rsidRPr="00634861">
        <w:rPr>
          <w:color w:val="auto"/>
        </w:rPr>
        <w:t xml:space="preserve"> is seven years. </w:t>
      </w:r>
    </w:p>
    <w:p w14:paraId="04C52CC2" w14:textId="442DCE04" w:rsidR="00E77FE0" w:rsidRPr="00634861" w:rsidRDefault="00E77FE0" w:rsidP="00E77FE0">
      <w:r w:rsidRPr="00634861">
        <w:t xml:space="preserve">If you are approaching or exceeding this timeline, please contact your Academic Advisor and/or Success Coach for guidance through </w:t>
      </w:r>
      <w:hyperlink r:id="rId6" w:history="1">
        <w:r w:rsidRPr="00634861">
          <w:rPr>
            <w:rStyle w:val="Hyperlink"/>
            <w:color w:val="auto"/>
          </w:rPr>
          <w:t>RSN</w:t>
        </w:r>
      </w:hyperlink>
      <w:r w:rsidRPr="00634861">
        <w:t>.</w:t>
      </w:r>
    </w:p>
    <w:p w14:paraId="1B52CDDE" w14:textId="77777777" w:rsidR="00E77FE0" w:rsidRPr="00634861" w:rsidRDefault="00E77FE0" w:rsidP="00E77FE0">
      <w:pPr>
        <w:pStyle w:val="Heading2"/>
        <w:rPr>
          <w:color w:val="auto"/>
        </w:rPr>
      </w:pPr>
      <w:r w:rsidRPr="00634861">
        <w:rPr>
          <w:color w:val="auto"/>
        </w:rPr>
        <w:t>Tuition Structure and Credit-Based Billing</w:t>
      </w:r>
    </w:p>
    <w:p w14:paraId="52B08AC0" w14:textId="77777777" w:rsidR="00E77FE0" w:rsidRPr="00634861" w:rsidRDefault="00E77FE0" w:rsidP="00E77FE0">
      <w:pPr>
        <w:pStyle w:val="Heading1"/>
        <w:rPr>
          <w:color w:val="auto"/>
        </w:rPr>
      </w:pPr>
      <w:r w:rsidRPr="00634861">
        <w:rPr>
          <w:color w:val="auto"/>
        </w:rPr>
        <w:t>Tuition and Fees</w:t>
      </w:r>
    </w:p>
    <w:p w14:paraId="59C7BE11" w14:textId="77777777" w:rsidR="00E77FE0" w:rsidRPr="00634861" w:rsidRDefault="00E77FE0" w:rsidP="00E77FE0">
      <w:r w:rsidRPr="00634861">
        <w:t xml:space="preserve">Current tuition and fee rates are published on the </w:t>
      </w:r>
      <w:hyperlink r:id="rId7" w:history="1">
        <w:r w:rsidRPr="00634861">
          <w:rPr>
            <w:rStyle w:val="Hyperlink"/>
            <w:color w:val="auto"/>
          </w:rPr>
          <w:t>Bursar’s</w:t>
        </w:r>
      </w:hyperlink>
      <w:r w:rsidRPr="00634861">
        <w:t xml:space="preserve"> website and should be referenced for the most accurate and up-to-date information. </w:t>
      </w:r>
    </w:p>
    <w:p w14:paraId="5ED3759B" w14:textId="77777777" w:rsidR="00E77FE0" w:rsidRPr="00634861" w:rsidRDefault="00E77FE0" w:rsidP="00E77FE0">
      <w:pPr>
        <w:pStyle w:val="Heading2"/>
        <w:rPr>
          <w:color w:val="auto"/>
        </w:rPr>
      </w:pPr>
      <w:r w:rsidRPr="00634861">
        <w:rPr>
          <w:color w:val="auto"/>
        </w:rPr>
        <w:lastRenderedPageBreak/>
        <w:t>Viewing Your Tuition Bill</w:t>
      </w:r>
    </w:p>
    <w:p w14:paraId="71539692" w14:textId="77777777" w:rsidR="00E77FE0" w:rsidRPr="00634861" w:rsidRDefault="00E77FE0" w:rsidP="00E77FE0">
      <w:r w:rsidRPr="00634861">
        <w:t xml:space="preserve">Students can view their tuition bill through </w:t>
      </w:r>
      <w:hyperlink r:id="rId8" w:history="1">
        <w:r w:rsidRPr="00634861">
          <w:rPr>
            <w:rStyle w:val="Hyperlink"/>
            <w:color w:val="auto"/>
          </w:rPr>
          <w:t>Self Service Banner</w:t>
        </w:r>
      </w:hyperlink>
      <w:r w:rsidRPr="00634861">
        <w:t xml:space="preserve"> by navigating to Bursar, then Official Billing, then Account Statement, or by accessing the Bursar </w:t>
      </w:r>
      <w:proofErr w:type="spellStart"/>
      <w:r w:rsidRPr="00634861">
        <w:t>ePay</w:t>
      </w:r>
      <w:proofErr w:type="spellEnd"/>
      <w:r w:rsidRPr="00634861">
        <w:t xml:space="preserve"> Center.</w:t>
      </w:r>
    </w:p>
    <w:p w14:paraId="2EC44205" w14:textId="77777777" w:rsidR="00E77FE0" w:rsidRPr="00634861" w:rsidRDefault="00E77FE0" w:rsidP="00E77FE0">
      <w:pPr>
        <w:pStyle w:val="Heading2"/>
        <w:rPr>
          <w:color w:val="auto"/>
        </w:rPr>
      </w:pPr>
      <w:r w:rsidRPr="00634861">
        <w:rPr>
          <w:color w:val="auto"/>
        </w:rPr>
        <w:t>Billing Due Dates and Payment Expectations</w:t>
      </w:r>
    </w:p>
    <w:p w14:paraId="3A2591B5" w14:textId="77777777" w:rsidR="00E77FE0" w:rsidRPr="00634861" w:rsidRDefault="00E77FE0" w:rsidP="00E77FE0">
      <w:r w:rsidRPr="00634861">
        <w:t>Billing due dates are published on the Bursar’s website each term. </w:t>
      </w:r>
    </w:p>
    <w:p w14:paraId="4E53A911" w14:textId="77777777" w:rsidR="00E77FE0" w:rsidRPr="00634861" w:rsidRDefault="00E77FE0" w:rsidP="00E77FE0">
      <w:pPr>
        <w:pStyle w:val="Heading2"/>
        <w:rPr>
          <w:color w:val="auto"/>
        </w:rPr>
      </w:pPr>
      <w:r w:rsidRPr="00634861">
        <w:rPr>
          <w:color w:val="auto"/>
        </w:rPr>
        <w:t>Payment Options and Payment Plan</w:t>
      </w:r>
    </w:p>
    <w:p w14:paraId="7A89C29F" w14:textId="77777777" w:rsidR="00E77FE0" w:rsidRPr="00634861" w:rsidRDefault="00E77FE0" w:rsidP="00E77FE0">
      <w:r w:rsidRPr="00634861">
        <w:t xml:space="preserve">The Bursar’s website also provides additional guidance related to billing and payment. See </w:t>
      </w:r>
      <w:hyperlink r:id="rId9" w:history="1">
        <w:r w:rsidRPr="00634861">
          <w:rPr>
            <w:rStyle w:val="Hyperlink"/>
            <w:color w:val="auto"/>
          </w:rPr>
          <w:t>Payment Methods and Plans</w:t>
        </w:r>
      </w:hyperlink>
      <w:r w:rsidRPr="00634861">
        <w:t>.</w:t>
      </w:r>
    </w:p>
    <w:p w14:paraId="11FC389D" w14:textId="77777777" w:rsidR="00E77FE0" w:rsidRPr="00634861" w:rsidRDefault="00E77FE0" w:rsidP="00E77FE0">
      <w:pPr>
        <w:pStyle w:val="Heading2"/>
        <w:rPr>
          <w:color w:val="auto"/>
        </w:rPr>
      </w:pPr>
      <w:r w:rsidRPr="00634861">
        <w:rPr>
          <w:color w:val="auto"/>
        </w:rPr>
        <w:t>Employer Tuition Assistance</w:t>
      </w:r>
    </w:p>
    <w:p w14:paraId="1414936A" w14:textId="77777777" w:rsidR="00E77FE0" w:rsidRPr="00634861" w:rsidRDefault="00E77FE0" w:rsidP="00E77FE0">
      <w:r w:rsidRPr="00634861">
        <w:t>Graduate students may also receive tuition assistance through their employer.</w:t>
      </w:r>
    </w:p>
    <w:p w14:paraId="7467FBB5" w14:textId="77777777" w:rsidR="00E77FE0" w:rsidRPr="00634861" w:rsidRDefault="00E77FE0" w:rsidP="00E77FE0">
      <w:pPr>
        <w:pStyle w:val="Heading2"/>
        <w:rPr>
          <w:color w:val="auto"/>
        </w:rPr>
      </w:pPr>
      <w:r w:rsidRPr="00634861">
        <w:rPr>
          <w:color w:val="auto"/>
        </w:rPr>
        <w:t>Federal Tuition Assistance and SF-182 Forms</w:t>
      </w:r>
    </w:p>
    <w:p w14:paraId="5430436B" w14:textId="77777777" w:rsidR="00E77FE0" w:rsidRPr="00634861" w:rsidRDefault="00E77FE0" w:rsidP="00E77FE0">
      <w:r w:rsidRPr="00634861">
        <w:t>Students who need to submit a federal SF-182 form or who receive tuition assistance through a U.S. government agency should contact the Office of the Bursar for assistance. </w:t>
      </w:r>
    </w:p>
    <w:p w14:paraId="5A9732AA" w14:textId="77777777" w:rsidR="00E77FE0" w:rsidRPr="00634861" w:rsidRDefault="00E77FE0" w:rsidP="00E77FE0">
      <w:pPr>
        <w:pStyle w:val="Heading2"/>
        <w:rPr>
          <w:color w:val="auto"/>
        </w:rPr>
      </w:pPr>
      <w:r w:rsidRPr="00634861">
        <w:rPr>
          <w:color w:val="auto"/>
        </w:rPr>
        <w:t>More Billing and Payment Details</w:t>
      </w:r>
    </w:p>
    <w:p w14:paraId="757F98F1" w14:textId="77777777" w:rsidR="00E77FE0" w:rsidRPr="00634861" w:rsidRDefault="00E77FE0" w:rsidP="00E77FE0">
      <w:r w:rsidRPr="00634861">
        <w:rPr>
          <w:rStyle w:val="Heading1Char"/>
          <w:color w:val="auto"/>
        </w:rPr>
        <w:t>Add/Drop Period</w:t>
      </w:r>
      <w:r w:rsidRPr="00634861">
        <w:rPr>
          <w:rStyle w:val="Heading1Char"/>
          <w:color w:val="auto"/>
        </w:rPr>
        <w:br/>
      </w:r>
      <w:r w:rsidRPr="00634861">
        <w:t>For most Rowan University courses, the standard add/drop period occurs during the first five business days of the term.</w:t>
      </w:r>
    </w:p>
    <w:p w14:paraId="3B1B590D" w14:textId="77777777" w:rsidR="00E77FE0" w:rsidRPr="00634861" w:rsidRDefault="00E77FE0" w:rsidP="00E77FE0">
      <w:r w:rsidRPr="00634861">
        <w:rPr>
          <w:rStyle w:val="Heading2Char"/>
          <w:color w:val="auto"/>
        </w:rPr>
        <w:t>Withdrawing from a Course</w:t>
      </w:r>
      <w:r w:rsidRPr="00634861">
        <w:rPr>
          <w:b/>
          <w:bCs/>
        </w:rPr>
        <w:br/>
      </w:r>
      <w:r w:rsidRPr="00634861">
        <w:t>After the add/drop period has ended, students who wish to withdraw from a course must submit a completed and signed Rowan University Course Withdrawal Form within the published withdrawal deadlines.</w:t>
      </w:r>
    </w:p>
    <w:p w14:paraId="2334192C" w14:textId="77777777" w:rsidR="00E77FE0" w:rsidRPr="00634861" w:rsidRDefault="00E77FE0" w:rsidP="00E77FE0">
      <w:pPr>
        <w:pStyle w:val="Heading1"/>
        <w:rPr>
          <w:b/>
          <w:bCs/>
          <w:color w:val="auto"/>
        </w:rPr>
      </w:pPr>
      <w:r w:rsidRPr="00634861">
        <w:rPr>
          <w:color w:val="auto"/>
        </w:rPr>
        <w:t>REGISTRATION TIPS AND SUPPORT</w:t>
      </w:r>
    </w:p>
    <w:p w14:paraId="216611BC" w14:textId="77777777" w:rsidR="00634861" w:rsidRPr="00634861" w:rsidRDefault="00634861" w:rsidP="00E77FE0">
      <w:pPr>
        <w:rPr>
          <w:b/>
          <w:bCs/>
        </w:rPr>
      </w:pPr>
    </w:p>
    <w:p w14:paraId="38B74CB4" w14:textId="65A5B6E3" w:rsidR="00E77FE0" w:rsidRPr="00634861" w:rsidRDefault="00E77FE0" w:rsidP="00634861">
      <w:pPr>
        <w:pStyle w:val="Heading1"/>
        <w:rPr>
          <w:b/>
          <w:bCs/>
          <w:color w:val="auto"/>
        </w:rPr>
      </w:pPr>
      <w:r w:rsidRPr="00634861">
        <w:rPr>
          <w:color w:val="auto"/>
        </w:rPr>
        <w:t>UNIVERSITY POLICIES</w:t>
      </w:r>
    </w:p>
    <w:p w14:paraId="6B066BEE" w14:textId="77777777" w:rsidR="00E77FE0" w:rsidRPr="00634861" w:rsidRDefault="00E77FE0" w:rsidP="00E77FE0"/>
    <w:p w14:paraId="4DEB3E29" w14:textId="65394B3D" w:rsidR="00E77FE0" w:rsidRPr="00634861" w:rsidRDefault="00E77FE0" w:rsidP="00634861">
      <w:pPr>
        <w:pStyle w:val="Heading2"/>
        <w:rPr>
          <w:color w:val="auto"/>
        </w:rPr>
      </w:pPr>
      <w:r w:rsidRPr="00634861">
        <w:rPr>
          <w:color w:val="auto"/>
        </w:rPr>
        <w:lastRenderedPageBreak/>
        <w:t>Informal Review of a Grade</w:t>
      </w:r>
    </w:p>
    <w:p w14:paraId="54BC76A5" w14:textId="77777777" w:rsidR="00E77FE0" w:rsidRPr="00634861" w:rsidRDefault="00E77FE0" w:rsidP="00634861">
      <w:pPr>
        <w:pStyle w:val="Heading2"/>
        <w:rPr>
          <w:color w:val="auto"/>
        </w:rPr>
      </w:pPr>
      <w:r w:rsidRPr="00634861">
        <w:rPr>
          <w:color w:val="auto"/>
        </w:rPr>
        <w:t>Formal Grade Dispute Process</w:t>
      </w:r>
    </w:p>
    <w:p w14:paraId="5D208A48" w14:textId="77777777" w:rsidR="00E77FE0" w:rsidRPr="00634861" w:rsidRDefault="00E77FE0" w:rsidP="00E77FE0">
      <w:r w:rsidRPr="00634861">
        <w:t>If a concern cannot be resolved through informal discussion with the instructor, students may pursue a formal grade dispute in accordance with Rowan University policy. </w:t>
      </w:r>
    </w:p>
    <w:p w14:paraId="4465CD0A" w14:textId="77777777" w:rsidR="00E77FE0" w:rsidRPr="00634861" w:rsidRDefault="00E77FE0" w:rsidP="00634861">
      <w:pPr>
        <w:pStyle w:val="Heading2"/>
        <w:rPr>
          <w:color w:val="auto"/>
        </w:rPr>
      </w:pPr>
      <w:r w:rsidRPr="00634861">
        <w:rPr>
          <w:color w:val="auto"/>
        </w:rPr>
        <w:t>Grade Changes</w:t>
      </w:r>
    </w:p>
    <w:p w14:paraId="1077CD28" w14:textId="77777777" w:rsidR="00E77FE0" w:rsidRPr="00634861" w:rsidRDefault="00E77FE0" w:rsidP="00E77FE0">
      <w:r w:rsidRPr="00634861">
        <w:t>Grade changes may occur under limited circumstances, such as administrative or clerical errors, or when a formal grade dispute has been reviewed and approved. </w:t>
      </w:r>
    </w:p>
    <w:p w14:paraId="5F0626CF" w14:textId="77777777" w:rsidR="00E77FE0" w:rsidRPr="00634861" w:rsidRDefault="00E77FE0" w:rsidP="00634861">
      <w:pPr>
        <w:pStyle w:val="Heading2"/>
        <w:rPr>
          <w:color w:val="auto"/>
        </w:rPr>
      </w:pPr>
      <w:r w:rsidRPr="00634861">
        <w:rPr>
          <w:color w:val="auto"/>
        </w:rPr>
        <w:t>Repeating a Course and Grade Replacement</w:t>
      </w:r>
    </w:p>
    <w:p w14:paraId="0A0BC4A5" w14:textId="77777777" w:rsidR="00E77FE0" w:rsidRPr="00634861" w:rsidRDefault="00E77FE0" w:rsidP="00E77FE0">
      <w:r w:rsidRPr="00634861">
        <w:t>If a student repeats a course, the full tuition must be paid again for the repeated enrollment. T</w:t>
      </w:r>
    </w:p>
    <w:p w14:paraId="0083A192" w14:textId="77777777" w:rsidR="00E77FE0" w:rsidRPr="00634861" w:rsidRDefault="00E77FE0" w:rsidP="00634861">
      <w:pPr>
        <w:pStyle w:val="Heading2"/>
        <w:rPr>
          <w:color w:val="auto"/>
        </w:rPr>
      </w:pPr>
      <w:r w:rsidRPr="00634861">
        <w:rPr>
          <w:color w:val="auto"/>
        </w:rPr>
        <w:t>Support and Guidance</w:t>
      </w:r>
    </w:p>
    <w:p w14:paraId="54DA1749" w14:textId="77777777" w:rsidR="00E77FE0" w:rsidRPr="00634861" w:rsidRDefault="00E77FE0" w:rsidP="00E77FE0">
      <w:r w:rsidRPr="00634861">
        <w:t>If you are unsure how to proceed or would like guidance before initiating a grade dispute or requesting a grade change, you are encouraged to connect with your Academic Advisor or Success Coach. </w:t>
      </w:r>
    </w:p>
    <w:p w14:paraId="4DBC1CAB" w14:textId="77777777" w:rsidR="00E77FE0" w:rsidRPr="00634861" w:rsidRDefault="00E77FE0" w:rsidP="00634861">
      <w:pPr>
        <w:pStyle w:val="Heading2"/>
        <w:rPr>
          <w:color w:val="auto"/>
        </w:rPr>
      </w:pPr>
      <w:r w:rsidRPr="00634861">
        <w:rPr>
          <w:color w:val="auto"/>
        </w:rPr>
        <w:t>Raising Concerns and Seeking Support</w:t>
      </w:r>
    </w:p>
    <w:p w14:paraId="44A4A68F" w14:textId="77777777" w:rsidR="00E77FE0" w:rsidRPr="00634861" w:rsidRDefault="00E77FE0" w:rsidP="00634861">
      <w:pPr>
        <w:pStyle w:val="Heading2"/>
        <w:rPr>
          <w:color w:val="auto"/>
        </w:rPr>
      </w:pPr>
      <w:r w:rsidRPr="00634861">
        <w:rPr>
          <w:color w:val="auto"/>
        </w:rPr>
        <w:t>For Students</w:t>
      </w:r>
    </w:p>
    <w:p w14:paraId="7B969F00" w14:textId="77777777" w:rsidR="00E77FE0" w:rsidRPr="00634861" w:rsidRDefault="00E77FE0" w:rsidP="00E77FE0">
      <w:r w:rsidRPr="00634861">
        <w:t>Rowan University is committed to fostering a respectful, inclusive, and supportive learning environment. </w:t>
      </w:r>
    </w:p>
    <w:p w14:paraId="5C5EC825" w14:textId="77777777" w:rsidR="00E77FE0" w:rsidRPr="00634861" w:rsidRDefault="00E77FE0" w:rsidP="00634861">
      <w:pPr>
        <w:pStyle w:val="Heading2"/>
        <w:rPr>
          <w:color w:val="auto"/>
        </w:rPr>
      </w:pPr>
      <w:r w:rsidRPr="00634861">
        <w:rPr>
          <w:color w:val="auto"/>
        </w:rPr>
        <w:t>Filing a Formal Complaint</w:t>
      </w:r>
    </w:p>
    <w:p w14:paraId="684F615B" w14:textId="4422D174" w:rsidR="00E77FE0" w:rsidRPr="00634861" w:rsidRDefault="00E77FE0" w:rsidP="00E77FE0">
      <w:r w:rsidRPr="00634861">
        <w:t>If you wish to file an official complaint against another student, student group, Rowan faculty member, or Rowan administrator, there is a specific procedure that must be followed. </w:t>
      </w:r>
    </w:p>
    <w:p w14:paraId="4856C2E4" w14:textId="77777777" w:rsidR="00E77FE0" w:rsidRPr="00634861" w:rsidRDefault="00E77FE0" w:rsidP="00634861">
      <w:pPr>
        <w:pStyle w:val="Heading2"/>
        <w:rPr>
          <w:color w:val="auto"/>
        </w:rPr>
      </w:pPr>
      <w:r w:rsidRPr="00634861">
        <w:rPr>
          <w:color w:val="auto"/>
        </w:rPr>
        <w:lastRenderedPageBreak/>
        <w:t>To File a Formal Complaint Outside of the University</w:t>
      </w:r>
    </w:p>
    <w:p w14:paraId="437F6EB5" w14:textId="77777777" w:rsidR="00E77FE0" w:rsidRPr="00634861" w:rsidRDefault="00E77FE0" w:rsidP="00634861">
      <w:pPr>
        <w:pStyle w:val="Heading2"/>
        <w:rPr>
          <w:color w:val="auto"/>
        </w:rPr>
      </w:pPr>
      <w:r w:rsidRPr="00634861">
        <w:rPr>
          <w:color w:val="auto"/>
        </w:rPr>
        <w:t>Students Are Encouraged to Notify an Advisor When Making a Formal Complaint</w:t>
      </w:r>
    </w:p>
    <w:p w14:paraId="0AC6F358" w14:textId="77777777" w:rsidR="00E77FE0" w:rsidRPr="00634861" w:rsidRDefault="00E77FE0" w:rsidP="00634861">
      <w:pPr>
        <w:pStyle w:val="Heading2"/>
        <w:rPr>
          <w:color w:val="auto"/>
        </w:rPr>
      </w:pPr>
      <w:r w:rsidRPr="00634861">
        <w:rPr>
          <w:color w:val="auto"/>
        </w:rPr>
        <w:t>For Faculty</w:t>
      </w:r>
    </w:p>
    <w:p w14:paraId="0D72256D" w14:textId="77777777" w:rsidR="00E77FE0" w:rsidRPr="00634861" w:rsidRDefault="00E77FE0" w:rsidP="00634861">
      <w:pPr>
        <w:pStyle w:val="Heading2"/>
        <w:rPr>
          <w:color w:val="auto"/>
        </w:rPr>
      </w:pPr>
      <w:r w:rsidRPr="00634861">
        <w:rPr>
          <w:color w:val="auto"/>
        </w:rPr>
        <w:t>For domestic and international students alike: </w:t>
      </w:r>
    </w:p>
    <w:p w14:paraId="6F1291C0" w14:textId="77777777" w:rsidR="00E77FE0" w:rsidRPr="00634861" w:rsidRDefault="00E77FE0" w:rsidP="00634861">
      <w:pPr>
        <w:pStyle w:val="Heading2"/>
        <w:rPr>
          <w:color w:val="auto"/>
        </w:rPr>
      </w:pPr>
      <w:r w:rsidRPr="00634861">
        <w:rPr>
          <w:color w:val="auto"/>
        </w:rPr>
        <w:t>For international students:  </w:t>
      </w:r>
    </w:p>
    <w:p w14:paraId="366E53B5" w14:textId="77777777" w:rsidR="00E77FE0" w:rsidRPr="00634861" w:rsidRDefault="00E77FE0" w:rsidP="00634861">
      <w:pPr>
        <w:pStyle w:val="Heading1"/>
        <w:rPr>
          <w:b/>
          <w:bCs/>
          <w:color w:val="auto"/>
        </w:rPr>
      </w:pPr>
      <w:r w:rsidRPr="00634861">
        <w:rPr>
          <w:color w:val="auto"/>
        </w:rPr>
        <w:t>PROGRAM CURRICULUM</w:t>
      </w:r>
    </w:p>
    <w:p w14:paraId="418E2264" w14:textId="77777777" w:rsidR="00E77FE0" w:rsidRPr="00634861" w:rsidRDefault="00E77FE0" w:rsidP="00634861">
      <w:pPr>
        <w:pStyle w:val="Heading2"/>
        <w:rPr>
          <w:color w:val="auto"/>
        </w:rPr>
      </w:pPr>
      <w:r w:rsidRPr="00634861">
        <w:rPr>
          <w:color w:val="auto"/>
        </w:rPr>
        <w:t>Please find the Program you were admitted to and review that section.</w:t>
      </w:r>
    </w:p>
    <w:p w14:paraId="04CA35CA" w14:textId="77777777" w:rsidR="00E77FE0" w:rsidRPr="00634861" w:rsidRDefault="00E77FE0" w:rsidP="00634861">
      <w:pPr>
        <w:pStyle w:val="Heading2"/>
        <w:rPr>
          <w:color w:val="auto"/>
        </w:rPr>
      </w:pPr>
    </w:p>
    <w:p w14:paraId="5C7E4998" w14:textId="77777777" w:rsidR="00E77FE0" w:rsidRPr="00634861" w:rsidRDefault="00E77FE0" w:rsidP="00634861">
      <w:pPr>
        <w:pStyle w:val="Heading2"/>
        <w:rPr>
          <w:color w:val="auto"/>
        </w:rPr>
      </w:pPr>
      <w:r w:rsidRPr="00634861">
        <w:rPr>
          <w:color w:val="auto"/>
        </w:rPr>
        <w:t>Areas of Concentration</w:t>
      </w:r>
    </w:p>
    <w:p w14:paraId="73DA236F" w14:textId="77777777" w:rsidR="00E77FE0" w:rsidRPr="00634861" w:rsidRDefault="00E77FE0" w:rsidP="00E77FE0"/>
    <w:p w14:paraId="128E43A7" w14:textId="77777777" w:rsidR="00E77FE0" w:rsidRPr="00634861" w:rsidRDefault="00E77FE0" w:rsidP="00634861">
      <w:pPr>
        <w:pStyle w:val="Heading1"/>
        <w:rPr>
          <w:color w:val="auto"/>
        </w:rPr>
      </w:pPr>
      <w:r w:rsidRPr="00634861">
        <w:rPr>
          <w:color w:val="auto"/>
        </w:rPr>
        <w:t>Foundation Courses</w:t>
      </w:r>
    </w:p>
    <w:p w14:paraId="76C6078D" w14:textId="77777777" w:rsidR="00E77FE0" w:rsidRPr="00634861" w:rsidRDefault="00E77FE0" w:rsidP="00E77FE0">
      <w:pPr>
        <w:rPr>
          <w:b/>
          <w:bCs/>
        </w:rPr>
      </w:pPr>
    </w:p>
    <w:p w14:paraId="261C9AAB" w14:textId="77777777" w:rsidR="00E77FE0" w:rsidRPr="00634861" w:rsidRDefault="00E77FE0" w:rsidP="00634861">
      <w:pPr>
        <w:pStyle w:val="Heading2"/>
        <w:rPr>
          <w:color w:val="auto"/>
        </w:rPr>
      </w:pPr>
      <w:r w:rsidRPr="00634861">
        <w:rPr>
          <w:color w:val="auto"/>
        </w:rPr>
        <w:lastRenderedPageBreak/>
        <w:t>Core Required Courses and Concentrations/Electives</w:t>
      </w:r>
    </w:p>
    <w:p w14:paraId="32666212" w14:textId="77777777" w:rsidR="00E77FE0" w:rsidRPr="00634861" w:rsidRDefault="00E77FE0" w:rsidP="00634861">
      <w:pPr>
        <w:pStyle w:val="Heading2"/>
        <w:rPr>
          <w:color w:val="auto"/>
        </w:rPr>
      </w:pPr>
      <w:r w:rsidRPr="00634861">
        <w:rPr>
          <w:color w:val="auto"/>
        </w:rPr>
        <w:t>Core Required Courses</w:t>
      </w:r>
    </w:p>
    <w:p w14:paraId="1CCD1F1D" w14:textId="77777777" w:rsidR="00E77FE0" w:rsidRPr="00634861" w:rsidRDefault="00E77FE0" w:rsidP="00634861">
      <w:pPr>
        <w:pStyle w:val="Heading2"/>
        <w:rPr>
          <w:color w:val="auto"/>
        </w:rPr>
      </w:pPr>
      <w:r w:rsidRPr="00634861">
        <w:rPr>
          <w:color w:val="auto"/>
        </w:rPr>
        <w:t>Concentrations/Electives</w:t>
      </w:r>
    </w:p>
    <w:p w14:paraId="26EE2CA4" w14:textId="0501ED1D" w:rsidR="00E77FE0" w:rsidRPr="00634861" w:rsidRDefault="00E77FE0" w:rsidP="00634861">
      <w:pPr>
        <w:pStyle w:val="Heading2"/>
        <w:rPr>
          <w:color w:val="auto"/>
        </w:rPr>
      </w:pPr>
      <w:r w:rsidRPr="00634861">
        <w:rPr>
          <w:color w:val="auto"/>
        </w:rPr>
        <w:t>Options – General vs. Concentration</w:t>
      </w:r>
    </w:p>
    <w:p w14:paraId="1A335FD4" w14:textId="77777777" w:rsidR="00E77FE0" w:rsidRPr="00634861" w:rsidRDefault="00E77FE0" w:rsidP="00634861">
      <w:pPr>
        <w:pStyle w:val="Heading2"/>
        <w:rPr>
          <w:color w:val="auto"/>
        </w:rPr>
      </w:pPr>
      <w:r w:rsidRPr="00634861">
        <w:rPr>
          <w:color w:val="auto"/>
        </w:rPr>
        <w:t>Concentration Options</w:t>
      </w:r>
    </w:p>
    <w:p w14:paraId="3FF01019" w14:textId="77777777" w:rsidR="00E77FE0" w:rsidRPr="00634861" w:rsidRDefault="00E77FE0" w:rsidP="00634861">
      <w:pPr>
        <w:pStyle w:val="Heading2"/>
        <w:rPr>
          <w:color w:val="auto"/>
        </w:rPr>
      </w:pPr>
      <w:r w:rsidRPr="00634861">
        <w:rPr>
          <w:color w:val="auto"/>
        </w:rPr>
        <w:t>Foundation Courses</w:t>
      </w:r>
    </w:p>
    <w:p w14:paraId="77A65EE1" w14:textId="77777777" w:rsidR="00E77FE0" w:rsidRPr="00634861" w:rsidRDefault="00E77FE0" w:rsidP="00634861">
      <w:pPr>
        <w:pStyle w:val="Heading2"/>
        <w:rPr>
          <w:color w:val="auto"/>
        </w:rPr>
      </w:pPr>
      <w:r w:rsidRPr="00634861">
        <w:rPr>
          <w:color w:val="auto"/>
        </w:rPr>
        <w:t>Required Courses</w:t>
      </w:r>
    </w:p>
    <w:p w14:paraId="4492C8BC" w14:textId="77777777" w:rsidR="00E77FE0" w:rsidRPr="00634861" w:rsidRDefault="00E77FE0" w:rsidP="00634861">
      <w:pPr>
        <w:pStyle w:val="Heading2"/>
        <w:rPr>
          <w:color w:val="auto"/>
        </w:rPr>
      </w:pPr>
      <w:r w:rsidRPr="00634861">
        <w:rPr>
          <w:color w:val="auto"/>
        </w:rPr>
        <w:t>Foundation Courses</w:t>
      </w:r>
    </w:p>
    <w:p w14:paraId="4E2BBCD2" w14:textId="77777777" w:rsidR="00E77FE0" w:rsidRPr="00634861" w:rsidRDefault="00E77FE0" w:rsidP="00634861">
      <w:pPr>
        <w:pStyle w:val="Heading2"/>
        <w:rPr>
          <w:color w:val="auto"/>
        </w:rPr>
      </w:pPr>
      <w:r w:rsidRPr="00634861">
        <w:rPr>
          <w:color w:val="auto"/>
        </w:rPr>
        <w:t>Required Courses</w:t>
      </w:r>
    </w:p>
    <w:p w14:paraId="7EF7AD09" w14:textId="77777777" w:rsidR="00E77FE0" w:rsidRPr="00634861" w:rsidRDefault="00E77FE0" w:rsidP="00634861">
      <w:pPr>
        <w:pStyle w:val="Heading2"/>
        <w:rPr>
          <w:color w:val="auto"/>
        </w:rPr>
      </w:pPr>
      <w:r w:rsidRPr="00634861">
        <w:rPr>
          <w:color w:val="auto"/>
        </w:rPr>
        <w:t>Foundation Courses</w:t>
      </w:r>
    </w:p>
    <w:p w14:paraId="7EB62FEC" w14:textId="77777777" w:rsidR="00E77FE0" w:rsidRPr="00634861" w:rsidRDefault="00E77FE0" w:rsidP="00634861">
      <w:pPr>
        <w:pStyle w:val="Heading2"/>
        <w:rPr>
          <w:color w:val="auto"/>
        </w:rPr>
      </w:pPr>
      <w:r w:rsidRPr="00634861">
        <w:rPr>
          <w:color w:val="auto"/>
        </w:rPr>
        <w:t>Required Courses</w:t>
      </w:r>
    </w:p>
    <w:p w14:paraId="2E59621A" w14:textId="77777777" w:rsidR="00E77FE0" w:rsidRPr="00634861" w:rsidRDefault="00E77FE0" w:rsidP="00634861">
      <w:pPr>
        <w:pStyle w:val="Heading1"/>
        <w:rPr>
          <w:color w:val="auto"/>
        </w:rPr>
      </w:pPr>
      <w:r w:rsidRPr="00634861">
        <w:rPr>
          <w:color w:val="auto"/>
        </w:rPr>
        <w:t>Policies and Procedures </w:t>
      </w:r>
    </w:p>
    <w:p w14:paraId="3615528B" w14:textId="77777777" w:rsidR="00E77FE0" w:rsidRPr="00634861" w:rsidRDefault="00E77FE0" w:rsidP="00634861">
      <w:pPr>
        <w:pStyle w:val="Heading2"/>
        <w:rPr>
          <w:color w:val="auto"/>
        </w:rPr>
      </w:pPr>
      <w:r w:rsidRPr="00634861">
        <w:rPr>
          <w:color w:val="auto"/>
        </w:rPr>
        <w:t>Action Steps for Streamlined Application and Expedited Decision Process</w:t>
      </w:r>
    </w:p>
    <w:p w14:paraId="6B0C62D4" w14:textId="77777777" w:rsidR="00E77FE0" w:rsidRPr="00634861" w:rsidRDefault="00E77FE0" w:rsidP="00634861">
      <w:pPr>
        <w:pStyle w:val="Heading2"/>
        <w:rPr>
          <w:color w:val="auto"/>
        </w:rPr>
      </w:pPr>
      <w:r w:rsidRPr="00634861">
        <w:rPr>
          <w:color w:val="auto"/>
        </w:rPr>
        <w:t>Policies and Procedures</w:t>
      </w:r>
    </w:p>
    <w:p w14:paraId="55385208" w14:textId="77777777" w:rsidR="00E77FE0" w:rsidRPr="00634861" w:rsidRDefault="00E77FE0" w:rsidP="00634861">
      <w:pPr>
        <w:pStyle w:val="Heading2"/>
        <w:rPr>
          <w:color w:val="auto"/>
        </w:rPr>
      </w:pPr>
      <w:r w:rsidRPr="00634861">
        <w:rPr>
          <w:color w:val="auto"/>
        </w:rPr>
        <w:t>Action Steps for Streamlined Application and Expedited Decision Process</w:t>
      </w:r>
    </w:p>
    <w:p w14:paraId="6CAFCFD9" w14:textId="77777777" w:rsidR="00E77FE0" w:rsidRPr="00634861" w:rsidRDefault="00E77FE0" w:rsidP="00634861">
      <w:pPr>
        <w:pStyle w:val="Heading1"/>
        <w:rPr>
          <w:b/>
          <w:bCs/>
          <w:color w:val="auto"/>
        </w:rPr>
      </w:pPr>
      <w:r w:rsidRPr="00634861">
        <w:rPr>
          <w:color w:val="auto"/>
        </w:rPr>
        <w:t>GRADUATION AND COMMENCEMENT</w:t>
      </w:r>
    </w:p>
    <w:p w14:paraId="2FC5BAF5" w14:textId="77777777" w:rsidR="00E77FE0" w:rsidRPr="00634861" w:rsidRDefault="00E77FE0" w:rsidP="00634861">
      <w:pPr>
        <w:pStyle w:val="Heading1"/>
        <w:rPr>
          <w:b/>
          <w:bCs/>
          <w:color w:val="auto"/>
        </w:rPr>
      </w:pPr>
      <w:r w:rsidRPr="00634861">
        <w:rPr>
          <w:color w:val="auto"/>
        </w:rPr>
        <w:t>RESOURCES AND SUPPORT</w:t>
      </w:r>
    </w:p>
    <w:p w14:paraId="4FA21E0C" w14:textId="77777777" w:rsidR="00E77FE0" w:rsidRPr="00634861" w:rsidRDefault="00E77FE0" w:rsidP="00E77FE0">
      <w:r w:rsidRPr="00634861">
        <w:t>This section outlines the academic, professional, and personal resources available to support you throughout your graduate experience.</w:t>
      </w:r>
    </w:p>
    <w:p w14:paraId="3568E777" w14:textId="70FAD5C2" w:rsidR="00E77FE0" w:rsidRDefault="00E77FE0" w:rsidP="00634861">
      <w:pPr>
        <w:pStyle w:val="Heading2"/>
        <w:rPr>
          <w:color w:val="auto"/>
        </w:rPr>
      </w:pPr>
      <w:r w:rsidRPr="00634861">
        <w:rPr>
          <w:color w:val="auto"/>
        </w:rPr>
        <w:t>Experiential &amp; Networking Opportunities (Events, Mocktails, Career Fairs)</w:t>
      </w:r>
    </w:p>
    <w:p w14:paraId="0317BC62" w14:textId="77777777" w:rsidR="00963DF0" w:rsidRPr="00963DF0" w:rsidRDefault="00963DF0" w:rsidP="00963DF0"/>
    <w:p w14:paraId="14849CD8" w14:textId="77777777" w:rsidR="00E77FE0" w:rsidRPr="00634861" w:rsidRDefault="00E77FE0" w:rsidP="00634861">
      <w:pPr>
        <w:pStyle w:val="Heading2"/>
        <w:rPr>
          <w:color w:val="auto"/>
        </w:rPr>
      </w:pPr>
      <w:r w:rsidRPr="00634861">
        <w:rPr>
          <w:color w:val="auto"/>
        </w:rPr>
        <w:lastRenderedPageBreak/>
        <w:t>Galvin Professional Closet </w:t>
      </w:r>
    </w:p>
    <w:p w14:paraId="3E81D16D" w14:textId="77777777" w:rsidR="00E77FE0" w:rsidRPr="00634861" w:rsidRDefault="00E77FE0" w:rsidP="00634861">
      <w:pPr>
        <w:pStyle w:val="Heading2"/>
        <w:rPr>
          <w:color w:val="auto"/>
        </w:rPr>
      </w:pPr>
      <w:r w:rsidRPr="00634861">
        <w:rPr>
          <w:color w:val="auto"/>
        </w:rPr>
        <w:t>Rowan Next (Central Student Access Hub)</w:t>
      </w:r>
    </w:p>
    <w:p w14:paraId="154C1CF7" w14:textId="77777777" w:rsidR="00E77FE0" w:rsidRPr="00634861" w:rsidRDefault="00E77FE0" w:rsidP="00634861">
      <w:pPr>
        <w:pStyle w:val="Heading1"/>
        <w:rPr>
          <w:color w:val="auto"/>
        </w:rPr>
      </w:pPr>
      <w:r w:rsidRPr="00634861">
        <w:rPr>
          <w:color w:val="auto"/>
        </w:rPr>
        <w:t>Writing Center</w:t>
      </w:r>
    </w:p>
    <w:p w14:paraId="23FFE575" w14:textId="77777777" w:rsidR="00E77FE0" w:rsidRPr="00634861" w:rsidRDefault="00E77FE0" w:rsidP="00E77FE0">
      <w:r w:rsidRPr="00634861">
        <w:t xml:space="preserve">The </w:t>
      </w:r>
      <w:hyperlink r:id="rId10" w:history="1">
        <w:r w:rsidRPr="00634861">
          <w:rPr>
            <w:rStyle w:val="Hyperlink"/>
            <w:color w:val="auto"/>
          </w:rPr>
          <w:t>Rowan University Writing Center</w:t>
        </w:r>
      </w:hyperlink>
      <w:r w:rsidRPr="00634861">
        <w:t xml:space="preserve"> provides academic writing support through in-person and virtual appointments.</w:t>
      </w:r>
    </w:p>
    <w:p w14:paraId="2B12760C" w14:textId="77777777" w:rsidR="00E77FE0" w:rsidRPr="00634861" w:rsidRDefault="00E77FE0" w:rsidP="00634861">
      <w:pPr>
        <w:pStyle w:val="Heading2"/>
        <w:rPr>
          <w:color w:val="auto"/>
        </w:rPr>
      </w:pPr>
      <w:proofErr w:type="spellStart"/>
      <w:r w:rsidRPr="00634861">
        <w:rPr>
          <w:color w:val="auto"/>
        </w:rPr>
        <w:t>Brainfuse</w:t>
      </w:r>
      <w:proofErr w:type="spellEnd"/>
      <w:r w:rsidRPr="00634861">
        <w:rPr>
          <w:color w:val="auto"/>
        </w:rPr>
        <w:t xml:space="preserve"> Tutoring</w:t>
      </w:r>
    </w:p>
    <w:p w14:paraId="7E477B34" w14:textId="77777777" w:rsidR="00E77FE0" w:rsidRPr="00634861" w:rsidRDefault="00E77FE0" w:rsidP="00E77FE0">
      <w:proofErr w:type="spellStart"/>
      <w:r w:rsidRPr="00634861">
        <w:t>Brainfuse</w:t>
      </w:r>
      <w:proofErr w:type="spellEnd"/>
      <w:r w:rsidRPr="00634861">
        <w:t xml:space="preserve"> is a free, 24/7 online tutoring service available to all Rowan students. </w:t>
      </w:r>
    </w:p>
    <w:p w14:paraId="174E79B9" w14:textId="77777777" w:rsidR="00E77FE0" w:rsidRPr="00634861" w:rsidRDefault="00E77FE0" w:rsidP="00634861">
      <w:pPr>
        <w:pStyle w:val="Heading2"/>
        <w:rPr>
          <w:color w:val="auto"/>
        </w:rPr>
      </w:pPr>
      <w:r w:rsidRPr="00634861">
        <w:rPr>
          <w:color w:val="auto"/>
        </w:rPr>
        <w:t>Rowan University Libraries </w:t>
      </w:r>
    </w:p>
    <w:p w14:paraId="38A05D30" w14:textId="77777777" w:rsidR="00E77FE0" w:rsidRPr="00634861" w:rsidRDefault="00E77FE0" w:rsidP="00634861">
      <w:pPr>
        <w:pStyle w:val="Heading2"/>
        <w:rPr>
          <w:color w:val="auto"/>
        </w:rPr>
      </w:pPr>
      <w:r w:rsidRPr="00634861">
        <w:rPr>
          <w:color w:val="auto"/>
        </w:rPr>
        <w:t>LinkedIn Learning</w:t>
      </w:r>
    </w:p>
    <w:p w14:paraId="7B23D001" w14:textId="77777777" w:rsidR="00E77FE0" w:rsidRPr="00634861" w:rsidRDefault="00E77FE0" w:rsidP="00E77FE0">
      <w:r w:rsidRPr="00634861">
        <w:t>As an enrolled Rowan University student, you have free access to LinkedIn Learning.</w:t>
      </w:r>
    </w:p>
    <w:p w14:paraId="27EFA0D7" w14:textId="77777777" w:rsidR="00E77FE0" w:rsidRPr="00634861" w:rsidRDefault="00E77FE0" w:rsidP="00634861">
      <w:pPr>
        <w:pStyle w:val="Heading2"/>
        <w:rPr>
          <w:color w:val="auto"/>
        </w:rPr>
      </w:pPr>
      <w:r w:rsidRPr="00634861">
        <w:rPr>
          <w:color w:val="auto"/>
        </w:rPr>
        <w:t>Wellness Center – Medical Care, Mental Health Support, Counseling Services, Crisis Support, Health Education</w:t>
      </w:r>
    </w:p>
    <w:p w14:paraId="2EFA0FEE" w14:textId="77777777" w:rsidR="00E77FE0" w:rsidRPr="00634861" w:rsidRDefault="00E77FE0" w:rsidP="00E77FE0">
      <w:r w:rsidRPr="00634861">
        <w:t>Student Health Services (SHS) strives to remove health-related barriers to learning, to promote optimal wellness, to enable clients to make informed decisions about health issues, and to empower students to be self-directed and well-informed health care consumers. </w:t>
      </w:r>
    </w:p>
    <w:p w14:paraId="4A41DD4D" w14:textId="77777777" w:rsidR="00E77FE0" w:rsidRPr="00634861" w:rsidRDefault="00E77FE0" w:rsidP="00634861">
      <w:pPr>
        <w:pStyle w:val="Heading1"/>
        <w:rPr>
          <w:color w:val="auto"/>
        </w:rPr>
      </w:pPr>
      <w:r w:rsidRPr="00634861">
        <w:rPr>
          <w:color w:val="auto"/>
        </w:rPr>
        <w:t>Rowan Thrive (Well-Being, Wellness &amp; Support Resources)</w:t>
      </w:r>
    </w:p>
    <w:p w14:paraId="5BD3A385" w14:textId="77777777" w:rsidR="00E77FE0" w:rsidRPr="00634861" w:rsidRDefault="00E77FE0" w:rsidP="00E77FE0">
      <w:r w:rsidRPr="00634861">
        <w:t>Rowan Thrive offers a broad range of resources across key dimensions of well-being—emotional, physical, financial, social, community, purpose, and resilience. </w:t>
      </w:r>
    </w:p>
    <w:p w14:paraId="61350945" w14:textId="77777777" w:rsidR="00E77FE0" w:rsidRPr="00634861" w:rsidRDefault="00E77FE0" w:rsidP="00634861">
      <w:pPr>
        <w:pStyle w:val="Heading1"/>
        <w:rPr>
          <w:color w:val="auto"/>
        </w:rPr>
      </w:pPr>
      <w:r w:rsidRPr="00634861">
        <w:rPr>
          <w:color w:val="auto"/>
        </w:rPr>
        <w:t>Academic Success Center (Accessibility, Mental Health, Academic Support)</w:t>
      </w:r>
    </w:p>
    <w:p w14:paraId="4AB181BE" w14:textId="77777777" w:rsidR="00E77FE0" w:rsidRPr="00634861" w:rsidRDefault="00E77FE0" w:rsidP="00E77FE0">
      <w:hyperlink r:id="rId11" w:history="1">
        <w:r w:rsidRPr="00634861">
          <w:rPr>
            <w:rStyle w:val="Hyperlink"/>
            <w:color w:val="auto"/>
          </w:rPr>
          <w:t>The Office of Accessibility Services</w:t>
        </w:r>
      </w:hyperlink>
      <w:r w:rsidRPr="00634861">
        <w:t xml:space="preserve"> offers assistance for multiple challenges students might face, such as documented disabilities, mental health, and some crisis situations.</w:t>
      </w:r>
    </w:p>
    <w:p w14:paraId="16CB4286" w14:textId="77777777" w:rsidR="00E77FE0" w:rsidRPr="00634861" w:rsidRDefault="00E77FE0" w:rsidP="00634861">
      <w:pPr>
        <w:pStyle w:val="Heading2"/>
        <w:rPr>
          <w:color w:val="auto"/>
        </w:rPr>
      </w:pPr>
      <w:r w:rsidRPr="00634861">
        <w:rPr>
          <w:color w:val="auto"/>
        </w:rPr>
        <w:t>Support During Extended Absences</w:t>
      </w:r>
    </w:p>
    <w:p w14:paraId="0EC3C2C2" w14:textId="77777777" w:rsidR="00E77FE0" w:rsidRPr="00634861" w:rsidRDefault="00E77FE0" w:rsidP="00E77FE0">
      <w:r w:rsidRPr="00634861">
        <w:t>Rowan University supports its students through all issues that may have an impact on their studies. </w:t>
      </w:r>
    </w:p>
    <w:p w14:paraId="0713492C" w14:textId="77777777" w:rsidR="00E77FE0" w:rsidRPr="00634861" w:rsidRDefault="00E77FE0" w:rsidP="00634861">
      <w:pPr>
        <w:pStyle w:val="Heading2"/>
        <w:rPr>
          <w:color w:val="auto"/>
        </w:rPr>
      </w:pPr>
      <w:r w:rsidRPr="00634861">
        <w:rPr>
          <w:color w:val="auto"/>
        </w:rPr>
        <w:lastRenderedPageBreak/>
        <w:t>Counseling and Support Resources Outside of Rowan</w:t>
      </w:r>
    </w:p>
    <w:p w14:paraId="09EAD569" w14:textId="77777777" w:rsidR="00E77FE0" w:rsidRPr="00634861" w:rsidRDefault="00E77FE0" w:rsidP="00E77FE0">
      <w:hyperlink r:id="rId12" w:history="1">
        <w:r w:rsidRPr="00634861">
          <w:rPr>
            <w:rStyle w:val="Hyperlink"/>
            <w:color w:val="auto"/>
          </w:rPr>
          <w:t>Grad Resources</w:t>
        </w:r>
      </w:hyperlink>
      <w:r w:rsidRPr="00634861">
        <w:t xml:space="preserve"> and the </w:t>
      </w:r>
      <w:hyperlink r:id="rId13" w:history="1">
        <w:r w:rsidRPr="00634861">
          <w:rPr>
            <w:rStyle w:val="Hyperlink"/>
            <w:color w:val="auto"/>
          </w:rPr>
          <w:t>National Association of Graduate-Professional Students</w:t>
        </w:r>
      </w:hyperlink>
      <w:r w:rsidRPr="00634861">
        <w:t xml:space="preserve"> has a National Grad Crisis-Line (877-GRAD-HLP) available to all graduate students as a supplement to existing mental health services on campus.</w:t>
      </w:r>
    </w:p>
    <w:p w14:paraId="1109C802" w14:textId="77777777" w:rsidR="00E77FE0" w:rsidRPr="00634861" w:rsidRDefault="00E77FE0" w:rsidP="00634861">
      <w:pPr>
        <w:pStyle w:val="Heading2"/>
        <w:rPr>
          <w:color w:val="auto"/>
        </w:rPr>
      </w:pPr>
      <w:r w:rsidRPr="00634861">
        <w:rPr>
          <w:color w:val="auto"/>
        </w:rPr>
        <w:t>Military-Affiliated Student Support</w:t>
      </w:r>
    </w:p>
    <w:p w14:paraId="3F4AA44E" w14:textId="77777777" w:rsidR="00E77FE0" w:rsidRPr="00634861" w:rsidRDefault="00E77FE0" w:rsidP="00E77FE0">
      <w:pPr>
        <w:rPr>
          <w:b/>
          <w:bCs/>
        </w:rPr>
      </w:pPr>
    </w:p>
    <w:p w14:paraId="2D8E2B4A" w14:textId="77777777" w:rsidR="00E77FE0" w:rsidRPr="00634861" w:rsidRDefault="00E77FE0" w:rsidP="00634861">
      <w:pPr>
        <w:pStyle w:val="Heading2"/>
        <w:rPr>
          <w:color w:val="auto"/>
        </w:rPr>
      </w:pPr>
      <w:r w:rsidRPr="00634861">
        <w:rPr>
          <w:color w:val="auto"/>
        </w:rPr>
        <w:t>Graduate Assistantships</w:t>
      </w:r>
    </w:p>
    <w:p w14:paraId="421F7F63" w14:textId="77777777" w:rsidR="00E77FE0" w:rsidRPr="00634861" w:rsidRDefault="00E77FE0" w:rsidP="00E77FE0">
      <w:r w:rsidRPr="00634861">
        <w:t>Graduate assistantships (GAs) provide students with the opportunity to gain professional experience while supporting academic or administrative units across the University. </w:t>
      </w:r>
    </w:p>
    <w:p w14:paraId="4D66DA12" w14:textId="77777777" w:rsidR="00E77FE0" w:rsidRPr="00634861" w:rsidRDefault="00E77FE0" w:rsidP="00634861">
      <w:pPr>
        <w:pStyle w:val="Heading1"/>
        <w:rPr>
          <w:color w:val="auto"/>
        </w:rPr>
      </w:pPr>
      <w:r w:rsidRPr="00634861">
        <w:rPr>
          <w:color w:val="auto"/>
        </w:rPr>
        <w:t>Scholarships</w:t>
      </w:r>
    </w:p>
    <w:p w14:paraId="7DC8CDF6" w14:textId="77777777" w:rsidR="00E77FE0" w:rsidRPr="00634861" w:rsidRDefault="00E77FE0" w:rsidP="00E77FE0">
      <w:r w:rsidRPr="00634861">
        <w:t xml:space="preserve">Rowan University offers a centralized </w:t>
      </w:r>
      <w:hyperlink r:id="rId14" w:history="1">
        <w:r w:rsidRPr="00634861">
          <w:rPr>
            <w:rStyle w:val="Hyperlink"/>
            <w:color w:val="auto"/>
          </w:rPr>
          <w:t>scholarship database</w:t>
        </w:r>
      </w:hyperlink>
      <w:r w:rsidRPr="00634861">
        <w:t xml:space="preserve"> that allows students to </w:t>
      </w:r>
      <w:proofErr w:type="gramStart"/>
      <w:r w:rsidRPr="00634861">
        <w:t>search</w:t>
      </w:r>
      <w:proofErr w:type="gramEnd"/>
      <w:r w:rsidRPr="00634861">
        <w:t xml:space="preserve"> and apply for scholarship opportunities for which they may be eligible. </w:t>
      </w:r>
    </w:p>
    <w:p w14:paraId="1B924603" w14:textId="77777777" w:rsidR="00E77FE0" w:rsidRPr="00634861" w:rsidRDefault="00E77FE0" w:rsidP="00634861">
      <w:pPr>
        <w:pStyle w:val="Heading2"/>
        <w:rPr>
          <w:color w:val="auto"/>
        </w:rPr>
      </w:pPr>
      <w:r w:rsidRPr="00634861">
        <w:rPr>
          <w:color w:val="auto"/>
        </w:rPr>
        <w:t>Printing Services</w:t>
      </w:r>
    </w:p>
    <w:p w14:paraId="5594AD71" w14:textId="77777777" w:rsidR="00E77FE0" w:rsidRPr="00634861" w:rsidRDefault="00E77FE0" w:rsidP="00634861">
      <w:pPr>
        <w:pStyle w:val="Heading2"/>
        <w:rPr>
          <w:color w:val="auto"/>
        </w:rPr>
      </w:pPr>
      <w:r w:rsidRPr="00634861">
        <w:rPr>
          <w:color w:val="auto"/>
        </w:rPr>
        <w:t>Rowan ID Cards</w:t>
      </w:r>
    </w:p>
    <w:p w14:paraId="43CEA569" w14:textId="77777777" w:rsidR="00E77FE0" w:rsidRPr="00634861" w:rsidRDefault="00E77FE0" w:rsidP="00E77FE0">
      <w:r w:rsidRPr="00634861">
        <w:t>A physical ID card is not required for Rowan University students, but it is necessary for certain services on campus like meal plans and printing services.</w:t>
      </w:r>
    </w:p>
    <w:p w14:paraId="69AC936B" w14:textId="77777777" w:rsidR="00E77FE0" w:rsidRPr="00634861" w:rsidRDefault="00E77FE0" w:rsidP="00634861">
      <w:pPr>
        <w:pStyle w:val="Heading1"/>
        <w:rPr>
          <w:color w:val="auto"/>
        </w:rPr>
      </w:pPr>
      <w:r w:rsidRPr="00634861">
        <w:rPr>
          <w:color w:val="auto"/>
        </w:rPr>
        <w:t>Campus Parking</w:t>
      </w:r>
    </w:p>
    <w:p w14:paraId="1CA06DC1" w14:textId="77777777" w:rsidR="00E77FE0" w:rsidRPr="00634861" w:rsidRDefault="00E77FE0" w:rsidP="00E77FE0">
      <w:r w:rsidRPr="00634861">
        <w:t>See the campus maps at the end of this handbook for more details on parking locations and options.</w:t>
      </w:r>
    </w:p>
    <w:p w14:paraId="519F3E95" w14:textId="77777777" w:rsidR="00E77FE0" w:rsidRPr="00634861" w:rsidRDefault="00E77FE0" w:rsidP="00634861">
      <w:pPr>
        <w:pStyle w:val="Heading2"/>
        <w:rPr>
          <w:color w:val="auto"/>
        </w:rPr>
      </w:pPr>
      <w:r w:rsidRPr="00634861">
        <w:rPr>
          <w:color w:val="auto"/>
        </w:rPr>
        <w:t>Rowan Shuttle Services (Free Campus Transportation)</w:t>
      </w:r>
    </w:p>
    <w:p w14:paraId="6530C02E" w14:textId="77777777" w:rsidR="00E77FE0" w:rsidRPr="00634861" w:rsidRDefault="00E77FE0" w:rsidP="00E77FE0">
      <w:r w:rsidRPr="00634861">
        <w:t>Rowan University offers free shuttle services for students, faculty, and staff with a valid Rowan ID. </w:t>
      </w:r>
    </w:p>
    <w:p w14:paraId="1A498DB0" w14:textId="77777777" w:rsidR="00E77FE0" w:rsidRPr="00634861" w:rsidRDefault="00E77FE0" w:rsidP="00E77FE0"/>
    <w:p w14:paraId="12CD5EC6" w14:textId="77777777" w:rsidR="00E77FE0" w:rsidRPr="00634861" w:rsidRDefault="00E77FE0" w:rsidP="00634861">
      <w:pPr>
        <w:pStyle w:val="Heading1"/>
        <w:rPr>
          <w:b/>
          <w:bCs/>
          <w:color w:val="auto"/>
        </w:rPr>
      </w:pPr>
      <w:r w:rsidRPr="00634861">
        <w:rPr>
          <w:color w:val="auto"/>
        </w:rPr>
        <w:t>Main Glassboro Campus Map</w:t>
      </w:r>
    </w:p>
    <w:p w14:paraId="6BB9907E" w14:textId="77777777" w:rsidR="00E77FE0" w:rsidRPr="00634861" w:rsidRDefault="00E77FE0" w:rsidP="00E77FE0">
      <w:r w:rsidRPr="00634861">
        <w:t xml:space="preserve">Welcome to our virtual experience campus tour. Choose the campus you want to explore virtually and then click each pinpoint on the map to access a guided-tour video for each location. </w:t>
      </w:r>
    </w:p>
    <w:p w14:paraId="63C8ABD1" w14:textId="77777777" w:rsidR="00B46D67" w:rsidRDefault="00B46D67"/>
    <w:sectPr w:rsidR="00B46D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FE0"/>
    <w:rsid w:val="00051C02"/>
    <w:rsid w:val="000D49A7"/>
    <w:rsid w:val="001B1567"/>
    <w:rsid w:val="00491D28"/>
    <w:rsid w:val="005E326F"/>
    <w:rsid w:val="00634861"/>
    <w:rsid w:val="0095233F"/>
    <w:rsid w:val="00963DF0"/>
    <w:rsid w:val="00B46D67"/>
    <w:rsid w:val="00CD650A"/>
    <w:rsid w:val="00DE5CCD"/>
    <w:rsid w:val="00E77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A82F5"/>
  <w15:chartTrackingRefBased/>
  <w15:docId w15:val="{B0BD65B5-854E-4DC2-94C6-90F305E63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7F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77F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77FE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77FE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77FE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77F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7F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7F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7F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7FE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77FE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77FE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77FE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77FE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77F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7F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7F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7FE0"/>
    <w:rPr>
      <w:rFonts w:eastAsiaTheme="majorEastAsia" w:cstheme="majorBidi"/>
      <w:color w:val="272727" w:themeColor="text1" w:themeTint="D8"/>
    </w:rPr>
  </w:style>
  <w:style w:type="paragraph" w:styleId="Title">
    <w:name w:val="Title"/>
    <w:basedOn w:val="Normal"/>
    <w:next w:val="Normal"/>
    <w:link w:val="TitleChar"/>
    <w:uiPriority w:val="10"/>
    <w:qFormat/>
    <w:rsid w:val="00E77F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7F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7F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7F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7FE0"/>
    <w:pPr>
      <w:spacing w:before="160"/>
      <w:jc w:val="center"/>
    </w:pPr>
    <w:rPr>
      <w:i/>
      <w:iCs/>
      <w:color w:val="404040" w:themeColor="text1" w:themeTint="BF"/>
    </w:rPr>
  </w:style>
  <w:style w:type="character" w:customStyle="1" w:styleId="QuoteChar">
    <w:name w:val="Quote Char"/>
    <w:basedOn w:val="DefaultParagraphFont"/>
    <w:link w:val="Quote"/>
    <w:uiPriority w:val="29"/>
    <w:rsid w:val="00E77FE0"/>
    <w:rPr>
      <w:i/>
      <w:iCs/>
      <w:color w:val="404040" w:themeColor="text1" w:themeTint="BF"/>
    </w:rPr>
  </w:style>
  <w:style w:type="paragraph" w:styleId="ListParagraph">
    <w:name w:val="List Paragraph"/>
    <w:basedOn w:val="Normal"/>
    <w:uiPriority w:val="34"/>
    <w:qFormat/>
    <w:rsid w:val="00E77FE0"/>
    <w:pPr>
      <w:ind w:left="720"/>
      <w:contextualSpacing/>
    </w:pPr>
  </w:style>
  <w:style w:type="character" w:styleId="IntenseEmphasis">
    <w:name w:val="Intense Emphasis"/>
    <w:basedOn w:val="DefaultParagraphFont"/>
    <w:uiPriority w:val="21"/>
    <w:qFormat/>
    <w:rsid w:val="00E77FE0"/>
    <w:rPr>
      <w:i/>
      <w:iCs/>
      <w:color w:val="2F5496" w:themeColor="accent1" w:themeShade="BF"/>
    </w:rPr>
  </w:style>
  <w:style w:type="paragraph" w:styleId="IntenseQuote">
    <w:name w:val="Intense Quote"/>
    <w:basedOn w:val="Normal"/>
    <w:next w:val="Normal"/>
    <w:link w:val="IntenseQuoteChar"/>
    <w:uiPriority w:val="30"/>
    <w:qFormat/>
    <w:rsid w:val="00E77F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7FE0"/>
    <w:rPr>
      <w:i/>
      <w:iCs/>
      <w:color w:val="2F5496" w:themeColor="accent1" w:themeShade="BF"/>
    </w:rPr>
  </w:style>
  <w:style w:type="character" w:styleId="IntenseReference">
    <w:name w:val="Intense Reference"/>
    <w:basedOn w:val="DefaultParagraphFont"/>
    <w:uiPriority w:val="32"/>
    <w:qFormat/>
    <w:rsid w:val="00E77FE0"/>
    <w:rPr>
      <w:b/>
      <w:bCs/>
      <w:smallCaps/>
      <w:color w:val="2F5496" w:themeColor="accent1" w:themeShade="BF"/>
      <w:spacing w:val="5"/>
    </w:rPr>
  </w:style>
  <w:style w:type="character" w:styleId="Hyperlink">
    <w:name w:val="Hyperlink"/>
    <w:basedOn w:val="DefaultParagraphFont"/>
    <w:uiPriority w:val="99"/>
    <w:unhideWhenUsed/>
    <w:rsid w:val="00E77FE0"/>
    <w:rPr>
      <w:color w:val="0563C1" w:themeColor="hyperlink"/>
      <w:u w:val="single"/>
    </w:rPr>
  </w:style>
  <w:style w:type="character" w:styleId="UnresolvedMention">
    <w:name w:val="Unresolved Mention"/>
    <w:basedOn w:val="DefaultParagraphFont"/>
    <w:uiPriority w:val="99"/>
    <w:semiHidden/>
    <w:unhideWhenUsed/>
    <w:rsid w:val="00E77F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b.rowan.edu/" TargetMode="External"/><Relationship Id="rId13" Type="http://schemas.openxmlformats.org/officeDocument/2006/relationships/hyperlink" Target="https://nagps.org/" TargetMode="External"/><Relationship Id="rId3" Type="http://schemas.openxmlformats.org/officeDocument/2006/relationships/settings" Target="settings.xml"/><Relationship Id="rId7" Type="http://schemas.openxmlformats.org/officeDocument/2006/relationships/hyperlink" Target="https://sites.rowan.edu/bursar/tuitionfees/" TargetMode="External"/><Relationship Id="rId12" Type="http://schemas.openxmlformats.org/officeDocument/2006/relationships/hyperlink" Target="https://gradresources.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sites.rowan.edu/student-success/rsn/rsn-schedule-appointment.html" TargetMode="External"/><Relationship Id="rId11" Type="http://schemas.openxmlformats.org/officeDocument/2006/relationships/hyperlink" Target="https://sites.rowan.edu/accessibilityservices/index.html" TargetMode="External"/><Relationship Id="rId5" Type="http://schemas.openxmlformats.org/officeDocument/2006/relationships/hyperlink" Target="https://login.rowan.edu/cas/login?service=https%3A%2F%2Fcanvas.rowan.edu%2Flogin%2Fcas" TargetMode="External"/><Relationship Id="rId15" Type="http://schemas.openxmlformats.org/officeDocument/2006/relationships/fontTable" Target="fontTable.xml"/><Relationship Id="rId10" Type="http://schemas.openxmlformats.org/officeDocument/2006/relationships/hyperlink" Target="https://sites.rowan.edu/student-success/tutoring/dropintutoring/" TargetMode="External"/><Relationship Id="rId4" Type="http://schemas.openxmlformats.org/officeDocument/2006/relationships/webSettings" Target="webSettings.xml"/><Relationship Id="rId9" Type="http://schemas.openxmlformats.org/officeDocument/2006/relationships/hyperlink" Target="https://sites.rowan.edu/bursar/paymentmethods/index.html" TargetMode="External"/><Relationship Id="rId14" Type="http://schemas.openxmlformats.org/officeDocument/2006/relationships/hyperlink" Target="https://sites.rowan.edu/financial-aid/paying-for-college/scholarship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0B26D-46D3-47AB-A76D-037C4CDD0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1381</Words>
  <Characters>7876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 Mullins</dc:creator>
  <cp:keywords/>
  <dc:description/>
  <cp:lastModifiedBy>Zach Mullins</cp:lastModifiedBy>
  <cp:revision>3</cp:revision>
  <dcterms:created xsi:type="dcterms:W3CDTF">2026-06-02T16:45:00Z</dcterms:created>
  <dcterms:modified xsi:type="dcterms:W3CDTF">2026-06-02T16:47:00Z</dcterms:modified>
</cp:coreProperties>
</file>