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0615"/>
      </w:tblGrid>
      <w:tr w:rsidR="00B87A84" w:rsidRPr="00B87A84" w:rsidTr="00591759">
        <w:tc>
          <w:tcPr>
            <w:tcW w:w="10615" w:type="dxa"/>
          </w:tcPr>
          <w:p w:rsidR="00B87A84" w:rsidRPr="00B87A84" w:rsidRDefault="00B87A84" w:rsidP="00B87A84">
            <w:pPr>
              <w:rPr>
                <w:rFonts w:eastAsia="Times New Roman" w:cstheme="minorHAnsi"/>
                <w:color w:val="000000"/>
              </w:rPr>
            </w:pPr>
            <w:hyperlink r:id="rId5" w:history="1">
              <w:r w:rsidRPr="00B87A84">
                <w:rPr>
                  <w:rFonts w:eastAsia="Times New Roman" w:cstheme="minorHAnsi"/>
                  <w:color w:val="0563C1" w:themeColor="hyperlink"/>
                  <w:u w:val="single"/>
                </w:rPr>
                <w:t>State of New Jersey Business Registration Certificate</w:t>
              </w:r>
            </w:hyperlink>
          </w:p>
          <w:p w:rsidR="00B87A84" w:rsidRPr="00B87A84" w:rsidRDefault="00B87A84" w:rsidP="00B87A84">
            <w:pPr>
              <w:rPr>
                <w:rFonts w:cstheme="minorHAnsi"/>
              </w:rPr>
            </w:pPr>
            <w:hyperlink r:id="rId6" w:history="1">
              <w:r w:rsidRPr="00B87A84">
                <w:rPr>
                  <w:rFonts w:cstheme="minorHAnsi"/>
                  <w:color w:val="0563C1" w:themeColor="hyperlink"/>
                  <w:u w:val="single"/>
                </w:rPr>
                <w:t>Online Inquiry: Business Registration Certificate</w:t>
              </w:r>
            </w:hyperlink>
          </w:p>
        </w:tc>
      </w:tr>
      <w:tr w:rsidR="00B87A84" w:rsidRPr="00B87A84" w:rsidTr="00591759">
        <w:tc>
          <w:tcPr>
            <w:tcW w:w="10615" w:type="dxa"/>
          </w:tcPr>
          <w:p w:rsidR="00B87A84" w:rsidRPr="00B87A84" w:rsidRDefault="00B87A84" w:rsidP="00B87A84">
            <w:pPr>
              <w:pStyle w:val="ListParagraph"/>
              <w:numPr>
                <w:ilvl w:val="0"/>
                <w:numId w:val="1"/>
              </w:numPr>
              <w:spacing w:before="100" w:beforeAutospacing="1" w:after="100" w:afterAutospacing="1"/>
              <w:rPr>
                <w:rFonts w:eastAsia="Times New Roman" w:cstheme="minorHAnsi"/>
                <w:color w:val="000000"/>
              </w:rPr>
            </w:pPr>
            <w:r w:rsidRPr="00B87A84">
              <w:rPr>
                <w:rFonts w:eastAsia="Times New Roman" w:cstheme="minorHAnsi"/>
                <w:color w:val="000000"/>
              </w:rPr>
              <w:t>A business registration allows for public contracting, as proof of a valid business registration with the New Jersey Division of Revenue.</w:t>
            </w:r>
          </w:p>
          <w:p w:rsidR="00B87A84" w:rsidRPr="00B87A84" w:rsidRDefault="00B87A84" w:rsidP="00B87A84">
            <w:pPr>
              <w:pStyle w:val="ListParagraph"/>
              <w:numPr>
                <w:ilvl w:val="0"/>
                <w:numId w:val="1"/>
              </w:numPr>
              <w:spacing w:before="100" w:beforeAutospacing="1" w:after="100" w:afterAutospacing="1"/>
              <w:rPr>
                <w:rFonts w:eastAsia="Times New Roman" w:cstheme="minorHAnsi"/>
                <w:color w:val="000000"/>
              </w:rPr>
            </w:pPr>
            <w:hyperlink r:id="rId7" w:history="1">
              <w:r w:rsidRPr="00B87A84">
                <w:rPr>
                  <w:rFonts w:eastAsia="Times New Roman" w:cstheme="minorHAnsi"/>
                  <w:color w:val="0563C1" w:themeColor="hyperlink"/>
                  <w:u w:val="single"/>
                </w:rPr>
                <w:t>Vendors</w:t>
              </w:r>
            </w:hyperlink>
            <w:r w:rsidRPr="00B87A84">
              <w:rPr>
                <w:rFonts w:eastAsia="Times New Roman" w:cstheme="minorHAnsi"/>
                <w:color w:val="000000"/>
              </w:rPr>
              <w:t> may confirm their registration status through the </w:t>
            </w:r>
            <w:r w:rsidRPr="00B87A84">
              <w:rPr>
                <w:rFonts w:eastAsia="Times New Roman" w:cstheme="minorHAnsi"/>
                <w:b/>
                <w:bCs/>
                <w:i/>
                <w:iCs/>
                <w:color w:val="663300"/>
              </w:rPr>
              <w:t>online inquiry</w:t>
            </w:r>
            <w:r w:rsidRPr="00B87A84">
              <w:rPr>
                <w:rFonts w:eastAsia="Times New Roman" w:cstheme="minorHAnsi"/>
                <w:color w:val="000000"/>
              </w:rPr>
              <w:t> link.</w:t>
            </w:r>
          </w:p>
          <w:p w:rsidR="00B87A84" w:rsidRPr="00B87A84" w:rsidRDefault="00B87A84" w:rsidP="00B87A84">
            <w:pPr>
              <w:pStyle w:val="ListParagraph"/>
              <w:numPr>
                <w:ilvl w:val="0"/>
                <w:numId w:val="1"/>
              </w:numPr>
              <w:rPr>
                <w:rFonts w:cstheme="minorHAnsi"/>
              </w:rPr>
            </w:pPr>
            <w:r w:rsidRPr="00B87A84">
              <w:rPr>
                <w:rFonts w:cstheme="minorHAnsi"/>
                <w:color w:val="000000"/>
              </w:rPr>
              <w:t xml:space="preserve">For assistance with New Jersey Business Registrations please contact Norma Santiago in the Office of Contracting &amp; Procurement: </w:t>
            </w:r>
            <w:hyperlink r:id="rId8" w:history="1">
              <w:r w:rsidRPr="00B87A84">
                <w:rPr>
                  <w:rFonts w:cstheme="minorHAnsi"/>
                  <w:color w:val="0563C1" w:themeColor="hyperlink"/>
                  <w:u w:val="single"/>
                </w:rPr>
                <w:t>santiagon@rowan.edu</w:t>
              </w:r>
            </w:hyperlink>
            <w:r w:rsidRPr="00B87A84">
              <w:rPr>
                <w:rFonts w:cstheme="minorHAnsi"/>
                <w:color w:val="000000"/>
              </w:rPr>
              <w:t xml:space="preserve"> or 856-256-5174</w:t>
            </w:r>
          </w:p>
        </w:tc>
      </w:tr>
      <w:tr w:rsidR="00B87A84" w:rsidRPr="00B87A84" w:rsidTr="00591759">
        <w:tc>
          <w:tcPr>
            <w:tcW w:w="10615" w:type="dxa"/>
          </w:tcPr>
          <w:p w:rsidR="00B87A84" w:rsidRPr="00B87A84" w:rsidRDefault="00B87A84">
            <w:pPr>
              <w:rPr>
                <w:rFonts w:cstheme="minorHAnsi"/>
              </w:rPr>
            </w:pPr>
          </w:p>
        </w:tc>
      </w:tr>
      <w:tr w:rsidR="00B87A84" w:rsidRPr="00B87A84" w:rsidTr="00591759">
        <w:tc>
          <w:tcPr>
            <w:tcW w:w="10615" w:type="dxa"/>
          </w:tcPr>
          <w:p w:rsidR="00B87A84" w:rsidRPr="00B87A84" w:rsidRDefault="00B87A84" w:rsidP="00B87A84">
            <w:pPr>
              <w:rPr>
                <w:rFonts w:eastAsia="Times New Roman" w:cstheme="minorHAnsi"/>
                <w:color w:val="000000"/>
              </w:rPr>
            </w:pPr>
            <w:hyperlink r:id="rId9" w:history="1">
              <w:r w:rsidRPr="00B87A84">
                <w:rPr>
                  <w:rFonts w:eastAsia="Times New Roman" w:cstheme="minorHAnsi"/>
                  <w:color w:val="0563C1" w:themeColor="hyperlink"/>
                  <w:u w:val="single"/>
                </w:rPr>
                <w:t>NJ State Policy Prohibiting Discrimination</w:t>
              </w:r>
            </w:hyperlink>
          </w:p>
          <w:p w:rsidR="00B87A84" w:rsidRPr="00B87A84" w:rsidRDefault="00B87A84" w:rsidP="00B87A84">
            <w:pPr>
              <w:pStyle w:val="ListParagraph"/>
              <w:numPr>
                <w:ilvl w:val="0"/>
                <w:numId w:val="4"/>
              </w:numPr>
              <w:rPr>
                <w:rFonts w:eastAsia="Times New Roman" w:cstheme="minorHAnsi"/>
                <w:color w:val="000000"/>
              </w:rPr>
            </w:pPr>
            <w:hyperlink r:id="rId10" w:history="1">
              <w:r w:rsidRPr="00B87A84">
                <w:rPr>
                  <w:rFonts w:eastAsia="Times New Roman" w:cstheme="minorHAnsi"/>
                  <w:color w:val="0563C1" w:themeColor="hyperlink"/>
                  <w:u w:val="single"/>
                </w:rPr>
                <w:t>Model Procedures for Internal Complaints Alleging Discrimination</w:t>
              </w:r>
            </w:hyperlink>
          </w:p>
          <w:p w:rsidR="00B87A84" w:rsidRPr="00B87A84" w:rsidRDefault="00B87A84" w:rsidP="00B87A84">
            <w:pPr>
              <w:pStyle w:val="ListParagraph"/>
              <w:numPr>
                <w:ilvl w:val="0"/>
                <w:numId w:val="4"/>
              </w:numPr>
              <w:rPr>
                <w:rFonts w:cstheme="minorHAnsi"/>
              </w:rPr>
            </w:pPr>
            <w:hyperlink r:id="rId11" w:history="1">
              <w:r w:rsidRPr="00B87A84">
                <w:rPr>
                  <w:rFonts w:cstheme="minorHAnsi"/>
                  <w:color w:val="0563C1" w:themeColor="hyperlink"/>
                  <w:u w:val="single"/>
                </w:rPr>
                <w:t>Acknowledgement of Receipt of Discrimination Policy and Model Procedures</w:t>
              </w:r>
            </w:hyperlink>
          </w:p>
        </w:tc>
        <w:bookmarkStart w:id="0" w:name="_GoBack"/>
        <w:bookmarkEnd w:id="0"/>
      </w:tr>
      <w:tr w:rsidR="00B87A84" w:rsidRPr="00B87A84" w:rsidTr="00591759">
        <w:tc>
          <w:tcPr>
            <w:tcW w:w="10615" w:type="dxa"/>
          </w:tcPr>
          <w:p w:rsidR="00B87A84" w:rsidRPr="00B87A84" w:rsidRDefault="00B87A84">
            <w:pPr>
              <w:rPr>
                <w:rFonts w:cstheme="minorHAnsi"/>
              </w:rPr>
            </w:pPr>
            <w:r w:rsidRPr="00B87A84">
              <w:rPr>
                <w:rStyle w:val="style161"/>
                <w:rFonts w:cstheme="minorHAnsi"/>
                <w:color w:val="000000"/>
              </w:rPr>
              <w:t>New Jersey State policy prohibiting discrimination, harassment or hostile environments in the workplace. Employment practices or procedures cannot treat people less favorably based on a person's race, gender, national origin or ancestry, religion, age, disability, affectional or sexual orientation, marital status, familial status, atypical hereditary cellular or blood trait, genetic information, or liability for service in the Armed Forces of the United States.</w:t>
            </w:r>
          </w:p>
        </w:tc>
      </w:tr>
      <w:tr w:rsidR="00B87A84" w:rsidRPr="00B87A84" w:rsidTr="00591759">
        <w:tc>
          <w:tcPr>
            <w:tcW w:w="10615" w:type="dxa"/>
          </w:tcPr>
          <w:p w:rsidR="00B87A84" w:rsidRPr="00B87A84" w:rsidRDefault="00B87A84">
            <w:pPr>
              <w:rPr>
                <w:rFonts w:cstheme="minorHAnsi"/>
              </w:rPr>
            </w:pPr>
          </w:p>
        </w:tc>
      </w:tr>
      <w:tr w:rsidR="00B87A84" w:rsidRPr="00B87A84" w:rsidTr="00591759">
        <w:tc>
          <w:tcPr>
            <w:tcW w:w="10615" w:type="dxa"/>
          </w:tcPr>
          <w:p w:rsidR="00B87A84" w:rsidRPr="00B87A84" w:rsidRDefault="00B87A84">
            <w:pPr>
              <w:rPr>
                <w:rFonts w:cstheme="minorHAnsi"/>
              </w:rPr>
            </w:pPr>
            <w:hyperlink r:id="rId12" w:history="1">
              <w:r w:rsidRPr="00B87A84">
                <w:rPr>
                  <w:rStyle w:val="Hyperlink"/>
                  <w:rFonts w:cstheme="minorHAnsi"/>
                </w:rPr>
                <w:t>Non-Collusion Affidavit</w:t>
              </w:r>
            </w:hyperlink>
          </w:p>
        </w:tc>
      </w:tr>
      <w:tr w:rsidR="00B87A84" w:rsidRPr="00B87A84" w:rsidTr="00591759">
        <w:tc>
          <w:tcPr>
            <w:tcW w:w="10615" w:type="dxa"/>
          </w:tcPr>
          <w:p w:rsidR="00B87A84" w:rsidRPr="00B87A84" w:rsidRDefault="00B87A84">
            <w:pPr>
              <w:rPr>
                <w:rFonts w:cstheme="minorHAnsi"/>
              </w:rPr>
            </w:pPr>
            <w:r w:rsidRPr="00B87A84">
              <w:rPr>
                <w:rStyle w:val="style161"/>
                <w:rFonts w:cstheme="minorHAnsi"/>
                <w:color w:val="000000"/>
              </w:rPr>
              <w:t>Vendor is affirming it is authorizing to submit a proposal; and are not in collusion with anyone or otherwise restraining the open competitive bidding process.</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rPr>
          <w:trHeight w:val="323"/>
        </w:trPr>
        <w:tc>
          <w:tcPr>
            <w:tcW w:w="10615" w:type="dxa"/>
          </w:tcPr>
          <w:p w:rsidR="00B87A84" w:rsidRPr="00B87A84" w:rsidRDefault="00B87A84">
            <w:pPr>
              <w:rPr>
                <w:rStyle w:val="style161"/>
                <w:rFonts w:cstheme="minorHAnsi"/>
                <w:color w:val="000000"/>
              </w:rPr>
            </w:pPr>
            <w:hyperlink r:id="rId13" w:history="1">
              <w:r w:rsidRPr="00B87A84">
                <w:rPr>
                  <w:rStyle w:val="Hyperlink"/>
                  <w:rFonts w:cstheme="minorHAnsi"/>
                </w:rPr>
                <w:t>Consent of Surety</w:t>
              </w:r>
            </w:hyperlink>
          </w:p>
        </w:tc>
      </w:tr>
      <w:tr w:rsidR="00B87A84" w:rsidRPr="00B87A84" w:rsidTr="00591759">
        <w:tc>
          <w:tcPr>
            <w:tcW w:w="10615" w:type="dxa"/>
          </w:tcPr>
          <w:p w:rsidR="00B87A84" w:rsidRPr="00B87A84" w:rsidRDefault="00B87A84" w:rsidP="00B87A84">
            <w:pPr>
              <w:rPr>
                <w:rStyle w:val="style161"/>
                <w:rFonts w:cstheme="minorHAnsi"/>
                <w:color w:val="000000"/>
              </w:rPr>
            </w:pPr>
            <w:r w:rsidRPr="00B87A84">
              <w:rPr>
                <w:rStyle w:val="style161"/>
                <w:rFonts w:cstheme="minorHAnsi"/>
                <w:color w:val="000000"/>
              </w:rPr>
              <w:t>Formal pledge by an insurance company to guaranty against damage or loss, non-fulfillment of an obligation, or unfaithfulness (must be no less than 100%).</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4" w:history="1">
              <w:r w:rsidRPr="00B87A84">
                <w:rPr>
                  <w:rStyle w:val="Hyperlink"/>
                  <w:rFonts w:cstheme="minorHAnsi"/>
                </w:rPr>
                <w:t>Subcontractor Disclosure Form</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Identifies any and to whom the prime contractor will subcontract work on a project.</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5" w:history="1">
              <w:r w:rsidRPr="00B87A84">
                <w:rPr>
                  <w:rStyle w:val="Hyperlink"/>
                  <w:rFonts w:cstheme="minorHAnsi"/>
                </w:rPr>
                <w:t>Form of Bid Bond</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This ensures that a vendor will take on a project if awarded. Provides Rowan with assurance that the vendor has the financial and physical means to accept a project for the price quoted in the bid (must issue for no less than 10%).</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6" w:history="1">
              <w:r w:rsidRPr="00B87A84">
                <w:rPr>
                  <w:rStyle w:val="Hyperlink"/>
                  <w:rFonts w:cstheme="minorHAnsi"/>
                </w:rPr>
                <w:t>Performance Bond</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A performance bond is a surety bond issued by an insurance company or a bank to guarantee satisfactory completion of a project by a contractor.</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7" w:history="1">
              <w:r w:rsidRPr="00B87A84">
                <w:rPr>
                  <w:rStyle w:val="Hyperlink"/>
                  <w:rFonts w:cstheme="minorHAnsi"/>
                </w:rPr>
                <w:t>Payment Bond</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A payment bond is a surety bond posted by a contractor to guaranty that his subcontractors and material suppliers on the project will be paid.</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8" w:history="1">
              <w:r w:rsidRPr="00B87A84">
                <w:rPr>
                  <w:rStyle w:val="Hyperlink"/>
                  <w:rFonts w:cstheme="minorHAnsi"/>
                </w:rPr>
                <w:t>W-9 Request for Taxpayer Identification Number and Certification</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Federal income tax law requires Rowan University to report certain payments made to vendors. In order for us to properly meet the federal tax law mandates, the information and certification on this form is required.</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19" w:history="1">
              <w:r w:rsidRPr="00B87A84">
                <w:rPr>
                  <w:rStyle w:val="Hyperlink"/>
                  <w:rFonts w:cstheme="minorHAnsi"/>
                </w:rPr>
                <w:t>Rowan Terms &amp; Conditions</w:t>
              </w:r>
            </w:hyperlink>
          </w:p>
        </w:tc>
      </w:tr>
      <w:tr w:rsidR="00B87A84" w:rsidRPr="00B87A84" w:rsidTr="00591759">
        <w:trPr>
          <w:trHeight w:val="2141"/>
        </w:trPr>
        <w:tc>
          <w:tcPr>
            <w:tcW w:w="10615" w:type="dxa"/>
          </w:tcPr>
          <w:p w:rsidR="00B87A84" w:rsidRPr="00B87A84" w:rsidRDefault="00B87A84" w:rsidP="00B87A84">
            <w:pPr>
              <w:spacing w:before="100" w:beforeAutospacing="1" w:after="100" w:afterAutospacing="1"/>
              <w:rPr>
                <w:rFonts w:eastAsia="Times New Roman" w:cstheme="minorHAnsi"/>
                <w:color w:val="000000"/>
              </w:rPr>
            </w:pPr>
            <w:r w:rsidRPr="00B87A84">
              <w:rPr>
                <w:rFonts w:eastAsia="Times New Roman" w:cstheme="minorHAnsi"/>
                <w:color w:val="000000"/>
              </w:rPr>
              <w:lastRenderedPageBreak/>
              <w:t>Includes Six Sections:</w:t>
            </w:r>
          </w:p>
          <w:p w:rsidR="00B87A84" w:rsidRPr="00B87A84" w:rsidRDefault="00B87A84" w:rsidP="00B87A84">
            <w:pPr>
              <w:numPr>
                <w:ilvl w:val="0"/>
                <w:numId w:val="3"/>
              </w:numPr>
              <w:spacing w:before="100" w:beforeAutospacing="1" w:after="100" w:afterAutospacing="1"/>
              <w:rPr>
                <w:rFonts w:cstheme="minorHAnsi"/>
                <w:color w:val="000000"/>
              </w:rPr>
            </w:pPr>
            <w:r w:rsidRPr="00B87A84">
              <w:rPr>
                <w:rFonts w:cstheme="minorHAnsi"/>
                <w:color w:val="000000"/>
              </w:rPr>
              <w:t>State law requiring mandatory compliance by all vendors;</w:t>
            </w:r>
          </w:p>
          <w:p w:rsidR="00B87A84" w:rsidRPr="00B87A84" w:rsidRDefault="00B87A84" w:rsidP="00B87A84">
            <w:pPr>
              <w:numPr>
                <w:ilvl w:val="0"/>
                <w:numId w:val="3"/>
              </w:numPr>
              <w:spacing w:before="100" w:beforeAutospacing="1" w:after="100" w:afterAutospacing="1"/>
              <w:rPr>
                <w:rFonts w:cstheme="minorHAnsi"/>
                <w:color w:val="000000"/>
              </w:rPr>
            </w:pPr>
            <w:r w:rsidRPr="00B87A84">
              <w:rPr>
                <w:rFonts w:cstheme="minorHAnsi"/>
                <w:color w:val="000000"/>
              </w:rPr>
              <w:t>Liabilities;</w:t>
            </w:r>
          </w:p>
          <w:p w:rsidR="00B87A84" w:rsidRPr="00B87A84" w:rsidRDefault="00B87A84" w:rsidP="00B87A84">
            <w:pPr>
              <w:numPr>
                <w:ilvl w:val="0"/>
                <w:numId w:val="3"/>
              </w:numPr>
              <w:spacing w:before="100" w:beforeAutospacing="1" w:after="100" w:afterAutospacing="1"/>
              <w:rPr>
                <w:rFonts w:cstheme="minorHAnsi"/>
                <w:color w:val="000000"/>
              </w:rPr>
            </w:pPr>
            <w:r w:rsidRPr="00B87A84">
              <w:rPr>
                <w:rFonts w:cstheme="minorHAnsi"/>
                <w:color w:val="000000"/>
              </w:rPr>
              <w:t>Terms governing all proposals to Rowan University's Procurement Department;</w:t>
            </w:r>
          </w:p>
          <w:p w:rsidR="00B87A84" w:rsidRPr="00B87A84" w:rsidRDefault="00B87A84" w:rsidP="00B87A84">
            <w:pPr>
              <w:numPr>
                <w:ilvl w:val="0"/>
                <w:numId w:val="3"/>
              </w:numPr>
              <w:spacing w:before="100" w:beforeAutospacing="1" w:after="100" w:afterAutospacing="1"/>
              <w:rPr>
                <w:rFonts w:cstheme="minorHAnsi"/>
                <w:color w:val="000000"/>
              </w:rPr>
            </w:pPr>
            <w:r w:rsidRPr="00B87A84">
              <w:rPr>
                <w:rFonts w:cstheme="minorHAnsi"/>
                <w:color w:val="000000"/>
              </w:rPr>
              <w:t>Terms relating to price quotation;</w:t>
            </w:r>
          </w:p>
          <w:p w:rsidR="00B87A84" w:rsidRPr="00B87A84" w:rsidRDefault="00B87A84" w:rsidP="00B87A84">
            <w:pPr>
              <w:numPr>
                <w:ilvl w:val="0"/>
                <w:numId w:val="3"/>
              </w:numPr>
              <w:spacing w:before="100" w:beforeAutospacing="1" w:after="100" w:afterAutospacing="1"/>
              <w:rPr>
                <w:rFonts w:cstheme="minorHAnsi"/>
                <w:color w:val="000000"/>
              </w:rPr>
            </w:pPr>
            <w:r w:rsidRPr="00B87A84">
              <w:rPr>
                <w:rFonts w:cstheme="minorHAnsi"/>
                <w:color w:val="000000"/>
              </w:rPr>
              <w:t>Cash discounts;</w:t>
            </w:r>
          </w:p>
          <w:p w:rsidR="00B87A84" w:rsidRPr="00B87A84" w:rsidRDefault="00B87A84" w:rsidP="00B87A84">
            <w:pPr>
              <w:numPr>
                <w:ilvl w:val="0"/>
                <w:numId w:val="3"/>
              </w:numPr>
              <w:spacing w:before="100" w:beforeAutospacing="1" w:after="100" w:afterAutospacing="1"/>
              <w:rPr>
                <w:rStyle w:val="style161"/>
                <w:rFonts w:cstheme="minorHAnsi"/>
                <w:color w:val="000000"/>
              </w:rPr>
            </w:pPr>
            <w:r w:rsidRPr="00B87A84">
              <w:rPr>
                <w:rFonts w:cstheme="minorHAnsi"/>
                <w:color w:val="000000"/>
              </w:rPr>
              <w:t>Hazardous materials.</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rsidP="00B87A84">
            <w:pPr>
              <w:pStyle w:val="NormalWeb"/>
              <w:rPr>
                <w:rStyle w:val="style161"/>
                <w:rFonts w:asciiTheme="minorHAnsi" w:hAnsiTheme="minorHAnsi" w:cstheme="minorHAnsi"/>
                <w:color w:val="000000"/>
                <w:sz w:val="22"/>
                <w:szCs w:val="22"/>
              </w:rPr>
            </w:pPr>
            <w:r w:rsidRPr="00B87A84">
              <w:rPr>
                <w:rFonts w:asciiTheme="minorHAnsi" w:hAnsiTheme="minorHAnsi" w:cstheme="minorHAnsi"/>
                <w:color w:val="000000"/>
                <w:sz w:val="22"/>
                <w:szCs w:val="22"/>
              </w:rPr>
              <w:t> </w:t>
            </w:r>
            <w:hyperlink r:id="rId20" w:history="1">
              <w:r w:rsidRPr="00B87A84">
                <w:rPr>
                  <w:rStyle w:val="Hyperlink"/>
                  <w:rFonts w:asciiTheme="minorHAnsi" w:hAnsiTheme="minorHAnsi" w:cstheme="minorHAnsi"/>
                  <w:sz w:val="22"/>
                  <w:szCs w:val="22"/>
                </w:rPr>
                <w:t>Public Law 2005, Chapter 51 &amp; Executive Order Form</w:t>
              </w:r>
            </w:hyperlink>
            <w:r w:rsidRPr="00B87A84">
              <w:rPr>
                <w:rStyle w:val="Strong"/>
                <w:rFonts w:asciiTheme="minorHAnsi" w:hAnsiTheme="minorHAnsi" w:cstheme="minorHAnsi"/>
                <w:i/>
                <w:iCs/>
                <w:color w:val="000000"/>
                <w:sz w:val="22"/>
                <w:szCs w:val="22"/>
              </w:rPr>
              <w:t>(must use Internet Explorer browser)</w:t>
            </w:r>
          </w:p>
        </w:tc>
      </w:tr>
      <w:tr w:rsidR="00B87A84" w:rsidRPr="00B87A84" w:rsidTr="00591759">
        <w:tc>
          <w:tcPr>
            <w:tcW w:w="10615" w:type="dxa"/>
          </w:tcPr>
          <w:p w:rsidR="00B87A84" w:rsidRPr="00B87A84" w:rsidRDefault="00B87A84" w:rsidP="00B87A84">
            <w:pPr>
              <w:spacing w:before="100" w:beforeAutospacing="1" w:after="100" w:afterAutospacing="1"/>
              <w:rPr>
                <w:rFonts w:eastAsia="Times New Roman" w:cstheme="minorHAnsi"/>
                <w:color w:val="000000"/>
              </w:rPr>
            </w:pPr>
            <w:r w:rsidRPr="00B87A84">
              <w:rPr>
                <w:rFonts w:eastAsia="Times New Roman" w:cstheme="minorHAnsi"/>
                <w:color w:val="000000"/>
              </w:rPr>
              <w:t>The purpose of these regulations are to insulate the negotiations and award of state contracts from political contributions that could pose a risk of improper influence, purchase of access or the appearance thereof.</w:t>
            </w:r>
          </w:p>
          <w:p w:rsidR="00B87A84" w:rsidRPr="00B87A84" w:rsidRDefault="00B87A84" w:rsidP="00B87A84">
            <w:pPr>
              <w:rPr>
                <w:rStyle w:val="style161"/>
                <w:rFonts w:cstheme="minorHAnsi"/>
                <w:color w:val="000000"/>
              </w:rPr>
            </w:pPr>
            <w:r w:rsidRPr="00B87A84">
              <w:rPr>
                <w:rFonts w:cstheme="minorHAnsi"/>
                <w:color w:val="000000"/>
              </w:rPr>
              <w:t>The</w:t>
            </w:r>
            <w:r w:rsidRPr="00B87A84">
              <w:rPr>
                <w:rFonts w:cstheme="minorHAnsi"/>
                <w:b/>
                <w:bCs/>
                <w:i/>
                <w:iCs/>
                <w:color w:val="663300"/>
              </w:rPr>
              <w:t> Ch.51 / Executive Order 117 Information and Instructions </w:t>
            </w:r>
            <w:r w:rsidRPr="00B87A84">
              <w:rPr>
                <w:rFonts w:cstheme="minorHAnsi"/>
                <w:color w:val="000000"/>
              </w:rPr>
              <w:t>form is used to disclose any political contributions made that meet the definitions noted thereon.</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rsidP="00B87A84">
            <w:pPr>
              <w:pStyle w:val="NormalWeb"/>
              <w:rPr>
                <w:rStyle w:val="style161"/>
                <w:rFonts w:asciiTheme="minorHAnsi" w:hAnsiTheme="minorHAnsi" w:cstheme="minorHAnsi"/>
                <w:color w:val="000000"/>
                <w:sz w:val="22"/>
                <w:szCs w:val="22"/>
              </w:rPr>
            </w:pPr>
            <w:hyperlink r:id="rId21" w:history="1">
              <w:r w:rsidRPr="00B87A84">
                <w:rPr>
                  <w:rStyle w:val="Hyperlink"/>
                  <w:rFonts w:asciiTheme="minorHAnsi" w:hAnsiTheme="minorHAnsi" w:cstheme="minorHAnsi"/>
                  <w:sz w:val="22"/>
                  <w:szCs w:val="22"/>
                </w:rPr>
                <w:t>Exhibit B Mandatory Equal Opportunity Language</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Fonts w:cstheme="minorHAnsi"/>
                <w:color w:val="000000"/>
                <w:shd w:val="clear" w:color="auto" w:fill="FFFFFF"/>
              </w:rPr>
              <w:t>It is policy of Rowan University to create a workforce representational of the diversity of the state of New Jersey. These policies are expressed in the</w:t>
            </w:r>
            <w:r w:rsidRPr="00B87A84">
              <w:rPr>
                <w:rStyle w:val="apple-converted-space"/>
                <w:rFonts w:cstheme="minorHAnsi"/>
                <w:color w:val="000000"/>
                <w:shd w:val="clear" w:color="auto" w:fill="FFFFFF"/>
              </w:rPr>
              <w:t> </w:t>
            </w:r>
            <w:r w:rsidRPr="00B87A84">
              <w:rPr>
                <w:rStyle w:val="style17"/>
                <w:rFonts w:cstheme="minorHAnsi"/>
                <w:b/>
                <w:bCs/>
                <w:i/>
                <w:iCs/>
                <w:color w:val="663300"/>
                <w:shd w:val="clear" w:color="auto" w:fill="FFFFFF"/>
              </w:rPr>
              <w:t>Mandatory &amp; Additional Mandatory Language</w:t>
            </w:r>
            <w:r w:rsidRPr="00B87A84">
              <w:rPr>
                <w:rStyle w:val="apple-converted-space"/>
                <w:rFonts w:cstheme="minorHAnsi"/>
                <w:b/>
                <w:bCs/>
                <w:i/>
                <w:iCs/>
                <w:color w:val="663300"/>
                <w:shd w:val="clear" w:color="auto" w:fill="FFFFFF"/>
              </w:rPr>
              <w:t> </w:t>
            </w:r>
            <w:r w:rsidRPr="00B87A84">
              <w:rPr>
                <w:rFonts w:cstheme="minorHAnsi"/>
                <w:color w:val="000000"/>
                <w:shd w:val="clear" w:color="auto" w:fill="FFFFFF"/>
              </w:rPr>
              <w:t>forms. Therefore, contractors engaged by Rowan University to perform under a construction contract shall put forth a good faith effort to engage in recruitment and employment practices that further the goal of fostering equal opportunities to minorities and women. Moreover, no discriminatory policies or practices will be tolerated.</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rsidP="00B87A84">
            <w:pPr>
              <w:rPr>
                <w:rFonts w:cstheme="minorHAnsi"/>
                <w:color w:val="000000"/>
              </w:rPr>
            </w:pPr>
            <w:hyperlink r:id="rId22" w:history="1">
              <w:r w:rsidRPr="00B87A84">
                <w:rPr>
                  <w:rStyle w:val="Hyperlink"/>
                  <w:rFonts w:cstheme="minorHAnsi"/>
                </w:rPr>
                <w:t>EO 151 - Additional Mandatory Construction Language</w:t>
              </w:r>
            </w:hyperlink>
          </w:p>
          <w:p w:rsidR="00B87A84" w:rsidRPr="00B87A84" w:rsidRDefault="00B87A84" w:rsidP="00B87A84">
            <w:pPr>
              <w:rPr>
                <w:rStyle w:val="style161"/>
                <w:rFonts w:cstheme="minorHAnsi"/>
                <w:color w:val="000000"/>
              </w:rPr>
            </w:pPr>
            <w:hyperlink r:id="rId23" w:history="1">
              <w:r w:rsidRPr="00B87A84">
                <w:rPr>
                  <w:rStyle w:val="Hyperlink"/>
                  <w:rFonts w:cstheme="minorHAnsi"/>
                </w:rPr>
                <w:t>Construction Contracts Language</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Style w:val="style161"/>
                <w:rFonts w:cstheme="minorHAnsi"/>
                <w:color w:val="000000"/>
              </w:rPr>
              <w:t>Evidence of compliance with N.J.S.A. 10:5-31 et seq. and N.J.A.C. 17:27 is within the Construction Language Contracts form.</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24" w:history="1">
              <w:r w:rsidRPr="00B87A84">
                <w:rPr>
                  <w:rStyle w:val="Hyperlink"/>
                  <w:rFonts w:cstheme="minorHAnsi"/>
                </w:rPr>
                <w:t>Notice Regarding Minority, Female, and Small Business Contractors</w:t>
              </w:r>
            </w:hyperlink>
          </w:p>
        </w:tc>
      </w:tr>
      <w:tr w:rsidR="00B87A84" w:rsidRPr="00B87A84" w:rsidTr="00591759">
        <w:tc>
          <w:tcPr>
            <w:tcW w:w="10615" w:type="dxa"/>
          </w:tcPr>
          <w:p w:rsidR="00B87A84" w:rsidRPr="00B87A84" w:rsidRDefault="00B87A84" w:rsidP="00B87A84">
            <w:pPr>
              <w:tabs>
                <w:tab w:val="left" w:pos="1313"/>
              </w:tabs>
              <w:rPr>
                <w:rStyle w:val="style161"/>
                <w:rFonts w:cstheme="minorHAnsi"/>
                <w:color w:val="000000"/>
              </w:rPr>
            </w:pPr>
            <w:r w:rsidRPr="00B87A84">
              <w:rPr>
                <w:rFonts w:cstheme="minorHAnsi"/>
                <w:color w:val="000000"/>
                <w:shd w:val="clear" w:color="auto" w:fill="FFFFFF"/>
              </w:rPr>
              <w:t>The</w:t>
            </w:r>
            <w:r w:rsidRPr="00B87A84">
              <w:rPr>
                <w:rStyle w:val="apple-converted-space"/>
                <w:rFonts w:cstheme="minorHAnsi"/>
                <w:color w:val="000000"/>
                <w:shd w:val="clear" w:color="auto" w:fill="FFFFFF"/>
              </w:rPr>
              <w:t> </w:t>
            </w:r>
            <w:r w:rsidRPr="00B87A84">
              <w:rPr>
                <w:rStyle w:val="Strong"/>
                <w:rFonts w:cstheme="minorHAnsi"/>
                <w:i/>
                <w:iCs/>
                <w:color w:val="663300"/>
                <w:shd w:val="clear" w:color="auto" w:fill="FFFFFF"/>
              </w:rPr>
              <w:t>Notice Regarding Minority, Female, and Small Business Contractors</w:t>
            </w:r>
            <w:r w:rsidRPr="00B87A84">
              <w:rPr>
                <w:rStyle w:val="apple-converted-space"/>
                <w:rFonts w:cstheme="minorHAnsi"/>
                <w:color w:val="000000"/>
                <w:shd w:val="clear" w:color="auto" w:fill="FFFFFF"/>
              </w:rPr>
              <w:t> </w:t>
            </w:r>
            <w:r w:rsidRPr="00B87A84">
              <w:rPr>
                <w:rFonts w:cstheme="minorHAnsi"/>
                <w:color w:val="000000"/>
                <w:shd w:val="clear" w:color="auto" w:fill="FFFFFF"/>
              </w:rPr>
              <w:t>requires all Bidders on its projects to use their best efforts to achieve minority, female and small business subcontractor participation in its construction projects.</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25" w:history="1">
              <w:r w:rsidRPr="00B87A84">
                <w:rPr>
                  <w:rStyle w:val="Hyperlink"/>
                  <w:rFonts w:cstheme="minorHAnsi"/>
                </w:rPr>
                <w:t>Affidavit of Outreach &amp; Subcontractor Outreach Contact Sheet</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Fonts w:cstheme="minorHAnsi"/>
                <w:color w:val="000000"/>
                <w:shd w:val="clear" w:color="auto" w:fill="FFFFFF"/>
              </w:rPr>
              <w:t>The</w:t>
            </w:r>
            <w:r w:rsidRPr="00B87A84">
              <w:rPr>
                <w:rStyle w:val="apple-converted-space"/>
                <w:rFonts w:cstheme="minorHAnsi"/>
                <w:color w:val="000000"/>
                <w:shd w:val="clear" w:color="auto" w:fill="FFFFFF"/>
              </w:rPr>
              <w:t> </w:t>
            </w:r>
            <w:r w:rsidRPr="00B87A84">
              <w:rPr>
                <w:rStyle w:val="style21"/>
                <w:rFonts w:cstheme="minorHAnsi"/>
                <w:b/>
                <w:bCs/>
                <w:i/>
                <w:iCs/>
                <w:color w:val="663300"/>
                <w:shd w:val="clear" w:color="auto" w:fill="FFFFFF"/>
              </w:rPr>
              <w:t>Affidavit of Outreach &amp; Subcontractor Data Sheet</w:t>
            </w:r>
            <w:r w:rsidRPr="00B87A84">
              <w:rPr>
                <w:rStyle w:val="apple-converted-space"/>
                <w:rFonts w:cstheme="minorHAnsi"/>
                <w:b/>
                <w:bCs/>
                <w:i/>
                <w:iCs/>
                <w:color w:val="663300"/>
                <w:shd w:val="clear" w:color="auto" w:fill="FFFFFF"/>
              </w:rPr>
              <w:t> </w:t>
            </w:r>
            <w:r w:rsidRPr="00B87A84">
              <w:rPr>
                <w:rFonts w:cstheme="minorHAnsi"/>
                <w:color w:val="000000"/>
                <w:shd w:val="clear" w:color="auto" w:fill="FFFFFF"/>
              </w:rPr>
              <w:t>confirms that the Bidder made a good faith effort to engage minority business, female business, and small business for its subcontractors.</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26" w:history="1">
              <w:r w:rsidRPr="00B87A84">
                <w:rPr>
                  <w:rStyle w:val="Hyperlink"/>
                  <w:rFonts w:cstheme="minorHAnsi"/>
                </w:rPr>
                <w:t>Exhibit A Mandatory Equal Opportunity Language</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Fonts w:cstheme="minorHAnsi"/>
                <w:color w:val="000000"/>
                <w:shd w:val="clear" w:color="auto" w:fill="FFFFFF"/>
              </w:rPr>
              <w:t>It is policy of Rowan University to create a workforce representational of the diversity of the state of New Jersey. These policies are expressed in the</w:t>
            </w:r>
            <w:r w:rsidRPr="00B87A84">
              <w:rPr>
                <w:rStyle w:val="apple-converted-space"/>
                <w:rFonts w:cstheme="minorHAnsi"/>
                <w:b/>
                <w:bCs/>
                <w:i/>
                <w:iCs/>
                <w:color w:val="663300"/>
                <w:shd w:val="clear" w:color="auto" w:fill="FFFFFF"/>
              </w:rPr>
              <w:t> </w:t>
            </w:r>
            <w:r w:rsidRPr="00B87A84">
              <w:rPr>
                <w:rStyle w:val="Strong"/>
                <w:rFonts w:cstheme="minorHAnsi"/>
                <w:i/>
                <w:iCs/>
                <w:color w:val="663300"/>
                <w:shd w:val="clear" w:color="auto" w:fill="FFFFFF"/>
              </w:rPr>
              <w:t>Mandatory Equal Opportunity Language</w:t>
            </w:r>
            <w:r w:rsidRPr="00B87A84">
              <w:rPr>
                <w:rStyle w:val="apple-converted-space"/>
                <w:rFonts w:cstheme="minorHAnsi"/>
                <w:color w:val="000000"/>
                <w:shd w:val="clear" w:color="auto" w:fill="FFFFFF"/>
              </w:rPr>
              <w:t> </w:t>
            </w:r>
            <w:r w:rsidRPr="00B87A84">
              <w:rPr>
                <w:rFonts w:cstheme="minorHAnsi"/>
                <w:color w:val="000000"/>
                <w:shd w:val="clear" w:color="auto" w:fill="FFFFFF"/>
              </w:rPr>
              <w:t>form. Therefore, contractors engaged by Rowan University to perform under a construction contract shall put forth a good faith effort to engage in recruitment and employment practices that further the goal of fostering equal opportunities to minorities and women. Moreover, no discriminatory policies or practices will be tolerated.</w:t>
            </w:r>
          </w:p>
        </w:tc>
      </w:tr>
      <w:tr w:rsidR="00B87A84" w:rsidRPr="00B87A84" w:rsidTr="00591759">
        <w:tc>
          <w:tcPr>
            <w:tcW w:w="10615" w:type="dxa"/>
          </w:tcPr>
          <w:p w:rsidR="00B87A84" w:rsidRPr="00B87A84" w:rsidRDefault="00B87A84">
            <w:pPr>
              <w:rPr>
                <w:rStyle w:val="style161"/>
                <w:rFonts w:cstheme="minorHAnsi"/>
                <w:color w:val="000000"/>
              </w:rPr>
            </w:pPr>
          </w:p>
        </w:tc>
      </w:tr>
      <w:tr w:rsidR="00B87A84" w:rsidRPr="00B87A84" w:rsidTr="00591759">
        <w:tc>
          <w:tcPr>
            <w:tcW w:w="10615" w:type="dxa"/>
          </w:tcPr>
          <w:p w:rsidR="00B87A84" w:rsidRPr="00B87A84" w:rsidRDefault="00B87A84">
            <w:pPr>
              <w:rPr>
                <w:rStyle w:val="style161"/>
                <w:rFonts w:cstheme="minorHAnsi"/>
                <w:color w:val="000000"/>
              </w:rPr>
            </w:pPr>
            <w:hyperlink r:id="rId27" w:history="1">
              <w:r w:rsidRPr="00B87A84">
                <w:rPr>
                  <w:rStyle w:val="Hyperlink"/>
                  <w:rFonts w:cstheme="minorHAnsi"/>
                </w:rPr>
                <w:t>EEO/AA Evidence Disclosure</w:t>
              </w:r>
            </w:hyperlink>
          </w:p>
        </w:tc>
      </w:tr>
      <w:tr w:rsidR="00B87A84" w:rsidRPr="00B87A84" w:rsidTr="00591759">
        <w:tc>
          <w:tcPr>
            <w:tcW w:w="10615" w:type="dxa"/>
          </w:tcPr>
          <w:p w:rsidR="00B87A84" w:rsidRPr="00B87A84" w:rsidRDefault="00B87A84">
            <w:pPr>
              <w:rPr>
                <w:rStyle w:val="style161"/>
                <w:rFonts w:cstheme="minorHAnsi"/>
                <w:color w:val="000000"/>
              </w:rPr>
            </w:pPr>
            <w:r w:rsidRPr="00B87A84">
              <w:rPr>
                <w:rFonts w:cstheme="minorHAnsi"/>
                <w:color w:val="000000"/>
                <w:shd w:val="clear" w:color="auto" w:fill="FFFFFF"/>
              </w:rPr>
              <w:t>The</w:t>
            </w:r>
            <w:r w:rsidRPr="00B87A84">
              <w:rPr>
                <w:rStyle w:val="apple-converted-space"/>
                <w:rFonts w:cstheme="minorHAnsi"/>
                <w:color w:val="000000"/>
                <w:shd w:val="clear" w:color="auto" w:fill="FFFFFF"/>
              </w:rPr>
              <w:t> </w:t>
            </w:r>
            <w:r w:rsidRPr="00B87A84">
              <w:rPr>
                <w:rStyle w:val="Strong"/>
                <w:rFonts w:cstheme="minorHAnsi"/>
                <w:i/>
                <w:iCs/>
                <w:color w:val="663300"/>
                <w:shd w:val="clear" w:color="auto" w:fill="FFFFFF"/>
              </w:rPr>
              <w:t>EE/AA Evidence Disclosure</w:t>
            </w:r>
            <w:r w:rsidRPr="00B87A84">
              <w:rPr>
                <w:rStyle w:val="apple-converted-space"/>
                <w:rFonts w:cstheme="minorHAnsi"/>
                <w:color w:val="000000"/>
                <w:shd w:val="clear" w:color="auto" w:fill="FFFFFF"/>
              </w:rPr>
              <w:t> </w:t>
            </w:r>
            <w:r w:rsidRPr="00B87A84">
              <w:rPr>
                <w:rFonts w:cstheme="minorHAnsi"/>
                <w:color w:val="000000"/>
                <w:shd w:val="clear" w:color="auto" w:fill="FFFFFF"/>
              </w:rPr>
              <w:t>is to produce evidence of compliance with N.J.S.A 10:5-31 et seq. &amp; N.J.A.C. 17:27</w:t>
            </w:r>
          </w:p>
        </w:tc>
      </w:tr>
    </w:tbl>
    <w:p w:rsidR="00B87A84" w:rsidRPr="00B87A84" w:rsidRDefault="00B87A84">
      <w:pPr>
        <w:rPr>
          <w:rFonts w:cstheme="minorHAnsi"/>
        </w:rPr>
      </w:pPr>
    </w:p>
    <w:sectPr w:rsidR="00B87A84" w:rsidRPr="00B87A84" w:rsidSect="005917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30481"/>
    <w:multiLevelType w:val="hybridMultilevel"/>
    <w:tmpl w:val="DD7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B27C6"/>
    <w:multiLevelType w:val="hybridMultilevel"/>
    <w:tmpl w:val="1676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65601"/>
    <w:multiLevelType w:val="multilevel"/>
    <w:tmpl w:val="6500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35A31"/>
    <w:multiLevelType w:val="hybridMultilevel"/>
    <w:tmpl w:val="B4F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84"/>
    <w:rsid w:val="004D4ABF"/>
    <w:rsid w:val="00591759"/>
    <w:rsid w:val="008C5959"/>
    <w:rsid w:val="00B8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A9F5C-32B6-42C1-BA6A-0BD0FA64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A84"/>
    <w:pPr>
      <w:ind w:left="720"/>
      <w:contextualSpacing/>
    </w:pPr>
  </w:style>
  <w:style w:type="character" w:customStyle="1" w:styleId="style161">
    <w:name w:val="style161"/>
    <w:basedOn w:val="DefaultParagraphFont"/>
    <w:rsid w:val="00B87A84"/>
  </w:style>
  <w:style w:type="character" w:styleId="Hyperlink">
    <w:name w:val="Hyperlink"/>
    <w:basedOn w:val="DefaultParagraphFont"/>
    <w:uiPriority w:val="99"/>
    <w:unhideWhenUsed/>
    <w:rsid w:val="00B87A84"/>
    <w:rPr>
      <w:color w:val="0563C1" w:themeColor="hyperlink"/>
      <w:u w:val="single"/>
    </w:rPr>
  </w:style>
  <w:style w:type="character" w:styleId="Strong">
    <w:name w:val="Strong"/>
    <w:basedOn w:val="DefaultParagraphFont"/>
    <w:uiPriority w:val="22"/>
    <w:qFormat/>
    <w:rsid w:val="00B87A84"/>
    <w:rPr>
      <w:b/>
      <w:bCs/>
    </w:rPr>
  </w:style>
  <w:style w:type="paragraph" w:styleId="NormalWeb">
    <w:name w:val="Normal (Web)"/>
    <w:basedOn w:val="Normal"/>
    <w:uiPriority w:val="99"/>
    <w:unhideWhenUsed/>
    <w:rsid w:val="00B8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5">
    <w:name w:val="style15"/>
    <w:basedOn w:val="DefaultParagraphFont"/>
    <w:rsid w:val="00B87A84"/>
  </w:style>
  <w:style w:type="character" w:styleId="Emphasis">
    <w:name w:val="Emphasis"/>
    <w:basedOn w:val="DefaultParagraphFont"/>
    <w:uiPriority w:val="20"/>
    <w:qFormat/>
    <w:rsid w:val="00B87A84"/>
    <w:rPr>
      <w:i/>
      <w:iCs/>
    </w:rPr>
  </w:style>
  <w:style w:type="character" w:customStyle="1" w:styleId="style22">
    <w:name w:val="style22"/>
    <w:basedOn w:val="DefaultParagraphFont"/>
    <w:rsid w:val="00B87A84"/>
  </w:style>
  <w:style w:type="character" w:customStyle="1" w:styleId="apple-converted-space">
    <w:name w:val="apple-converted-space"/>
    <w:basedOn w:val="DefaultParagraphFont"/>
    <w:rsid w:val="00B87A84"/>
  </w:style>
  <w:style w:type="character" w:customStyle="1" w:styleId="style17">
    <w:name w:val="style17"/>
    <w:basedOn w:val="DefaultParagraphFont"/>
    <w:rsid w:val="00B87A84"/>
  </w:style>
  <w:style w:type="character" w:customStyle="1" w:styleId="style21">
    <w:name w:val="style21"/>
    <w:basedOn w:val="DefaultParagraphFont"/>
    <w:rsid w:val="00B87A84"/>
  </w:style>
  <w:style w:type="paragraph" w:styleId="BalloonText">
    <w:name w:val="Balloon Text"/>
    <w:basedOn w:val="Normal"/>
    <w:link w:val="BalloonTextChar"/>
    <w:uiPriority w:val="99"/>
    <w:semiHidden/>
    <w:unhideWhenUsed/>
    <w:rsid w:val="00591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4241">
      <w:bodyDiv w:val="1"/>
      <w:marLeft w:val="0"/>
      <w:marRight w:val="0"/>
      <w:marTop w:val="0"/>
      <w:marBottom w:val="0"/>
      <w:divBdr>
        <w:top w:val="none" w:sz="0" w:space="0" w:color="auto"/>
        <w:left w:val="none" w:sz="0" w:space="0" w:color="auto"/>
        <w:bottom w:val="none" w:sz="0" w:space="0" w:color="auto"/>
        <w:right w:val="none" w:sz="0" w:space="0" w:color="auto"/>
      </w:divBdr>
    </w:div>
    <w:div w:id="6567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iagon@rowan.edu" TargetMode="External"/><Relationship Id="rId13" Type="http://schemas.openxmlformats.org/officeDocument/2006/relationships/hyperlink" Target="http://www.rowan.edu/adminfinance/controller/purchasing/forms/documents/ConsentofSurety_001.pdf" TargetMode="External"/><Relationship Id="rId18" Type="http://schemas.openxmlformats.org/officeDocument/2006/relationships/hyperlink" Target="https://www.irs.gov/pub/irs-pdf/fw9.pdf" TargetMode="External"/><Relationship Id="rId26" Type="http://schemas.openxmlformats.org/officeDocument/2006/relationships/hyperlink" Target="http://www.rowan.edu/adminfinance/controller/purchasing/forms/documents/ExhibitAMandatoryEEOforGPSandGS-web.pdf" TargetMode="External"/><Relationship Id="rId3" Type="http://schemas.openxmlformats.org/officeDocument/2006/relationships/settings" Target="settings.xml"/><Relationship Id="rId21" Type="http://schemas.openxmlformats.org/officeDocument/2006/relationships/hyperlink" Target="http://www.rowan.edu/adminfinance/controller/purchasing/forms/documents/ExhibitBMandatoryEEOLanguage-Web.pdf" TargetMode="External"/><Relationship Id="rId7" Type="http://schemas.openxmlformats.org/officeDocument/2006/relationships/hyperlink" Target="http://www.rowan.edu/open/adminfinance/controller/purchasing/bids/documents/test/lol.pdf" TargetMode="External"/><Relationship Id="rId12" Type="http://schemas.openxmlformats.org/officeDocument/2006/relationships/hyperlink" Target="http://www.rowan.edu/adminfinance/controller/purchasing/forms/documents/Non-CollusionAffidavit_002.pdf" TargetMode="External"/><Relationship Id="rId17" Type="http://schemas.openxmlformats.org/officeDocument/2006/relationships/hyperlink" Target="http://www.rowan.edu/adminfinance/controller/purchasing/forms/documents/PaymentBond.pdf" TargetMode="External"/><Relationship Id="rId25" Type="http://schemas.openxmlformats.org/officeDocument/2006/relationships/hyperlink" Target="http://www.rowan.edu/adminfinance/controller/purchasing/forms/documents/AffidavitofOutreach-SubcontractorOutreachContactSheet.pdf" TargetMode="External"/><Relationship Id="rId2" Type="http://schemas.openxmlformats.org/officeDocument/2006/relationships/styles" Target="styles.xml"/><Relationship Id="rId16" Type="http://schemas.openxmlformats.org/officeDocument/2006/relationships/hyperlink" Target="http://www.rowan.edu/adminfinance/controller/purchasing/forms/documents/PerformanceBond.pdf" TargetMode="External"/><Relationship Id="rId20" Type="http://schemas.openxmlformats.org/officeDocument/2006/relationships/hyperlink" Target="http://www.state.nj.us/treasury/purchase/forms/eo134/Chapter5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1.state.nj.us/TYTR_BRC/jsp/BRCLoginJsp.jsp" TargetMode="External"/><Relationship Id="rId11" Type="http://schemas.openxmlformats.org/officeDocument/2006/relationships/hyperlink" Target="http://www.rowan.edu/adminfinance/controller/purchasing/forms/documents/NJHarassmentPolicyandProceduresReceipt-2013.pdf" TargetMode="External"/><Relationship Id="rId24" Type="http://schemas.openxmlformats.org/officeDocument/2006/relationships/hyperlink" Target="http://www.rowan.edu/adminfinance/controller/purchasing/forms/documents/NoticeRegardingMFSBContractors.pdf" TargetMode="External"/><Relationship Id="rId5" Type="http://schemas.openxmlformats.org/officeDocument/2006/relationships/hyperlink" Target="http://www.state.nj.us/treasury/revenue/busregcert.shtml" TargetMode="External"/><Relationship Id="rId15" Type="http://schemas.openxmlformats.org/officeDocument/2006/relationships/hyperlink" Target="http://www.rowan.edu/adminfinance/controller/purchasing/forms/documents/FormofBidBond.pdf" TargetMode="External"/><Relationship Id="rId23" Type="http://schemas.openxmlformats.org/officeDocument/2006/relationships/hyperlink" Target="http://www.rowan.edu/adminfinance/controller/purchasing/forms/documents/ConstructionContractsLanguageBforweb.pdf" TargetMode="External"/><Relationship Id="rId28" Type="http://schemas.openxmlformats.org/officeDocument/2006/relationships/fontTable" Target="fontTable.xml"/><Relationship Id="rId10" Type="http://schemas.openxmlformats.org/officeDocument/2006/relationships/hyperlink" Target="http://www.rowan.edu/adminfinance/controller/purchasing/forms/documents/NJProceduresforDiscrimination-RevisedNovember2012.pdf" TargetMode="External"/><Relationship Id="rId19" Type="http://schemas.openxmlformats.org/officeDocument/2006/relationships/hyperlink" Target="http://www.rowan.edu/adminfinance/controller/purchasing/forms/documents/RowanTermsandConditions.pdf" TargetMode="External"/><Relationship Id="rId4" Type="http://schemas.openxmlformats.org/officeDocument/2006/relationships/webSettings" Target="webSettings.xml"/><Relationship Id="rId9" Type="http://schemas.openxmlformats.org/officeDocument/2006/relationships/hyperlink" Target="http://www.rowan.edu/adminfinance/controller/purchasing/forms/documents/NJDiscriminationPolicy.pdf" TargetMode="External"/><Relationship Id="rId14" Type="http://schemas.openxmlformats.org/officeDocument/2006/relationships/hyperlink" Target="http://www.rowan.edu/adminfinance/controller/purchasing/forms/documents/SubcontractorDisclosureForm-12-2014.pdf" TargetMode="External"/><Relationship Id="rId22" Type="http://schemas.openxmlformats.org/officeDocument/2006/relationships/hyperlink" Target="http://www.rowan.edu/adminfinance/controller/purchasing/forms/documents/EO151AdditionalMandatoryConstructionContractLanguage-Web.pdf" TargetMode="External"/><Relationship Id="rId27" Type="http://schemas.openxmlformats.org/officeDocument/2006/relationships/hyperlink" Target="http://www.rowan.edu/adminfinance/controller/purchasing/forms/documents/EEOAAEvidenceforGPSGS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A7FA861F.dotm</Template>
  <TotalTime>16</TotalTime>
  <Pages>2</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Alexis Lynn</dc:creator>
  <cp:keywords/>
  <dc:description/>
  <cp:lastModifiedBy>Jones, Alexis Lynn</cp:lastModifiedBy>
  <cp:revision>1</cp:revision>
  <cp:lastPrinted>2016-03-07T16:26:00Z</cp:lastPrinted>
  <dcterms:created xsi:type="dcterms:W3CDTF">2016-03-07T16:06:00Z</dcterms:created>
  <dcterms:modified xsi:type="dcterms:W3CDTF">2016-03-07T16:26:00Z</dcterms:modified>
</cp:coreProperties>
</file>