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F7" w:rsidRDefault="00000C34" w:rsidP="00000C34">
      <w:pPr>
        <w:jc w:val="center"/>
        <w:rPr>
          <w:b/>
        </w:rPr>
      </w:pPr>
      <w:bookmarkStart w:id="0" w:name="_GoBack"/>
      <w:bookmarkEnd w:id="0"/>
      <w:r>
        <w:rPr>
          <w:b/>
        </w:rPr>
        <w:t>GUIDANCE 35</w:t>
      </w:r>
    </w:p>
    <w:p w:rsidR="00000C34" w:rsidRDefault="00E53AF7" w:rsidP="00000C34">
      <w:pPr>
        <w:jc w:val="center"/>
        <w:rPr>
          <w:b/>
        </w:rPr>
      </w:pPr>
      <w:r>
        <w:rPr>
          <w:b/>
        </w:rPr>
        <w:t xml:space="preserve">GUIDANCE FOR </w:t>
      </w:r>
      <w:r w:rsidR="00000C34">
        <w:rPr>
          <w:b/>
        </w:rPr>
        <w:t>REPORTING UNANTICIPATED PROBLEMS</w:t>
      </w:r>
    </w:p>
    <w:p w:rsidR="00000C34" w:rsidRPr="00906DC8" w:rsidRDefault="00000C34" w:rsidP="00000C34">
      <w:pPr>
        <w:spacing w:after="0" w:line="240" w:lineRule="auto"/>
        <w:rPr>
          <w:rFonts w:ascii="Georgia" w:hAnsi="Georgia"/>
          <w:b/>
          <w:sz w:val="20"/>
          <w:szCs w:val="20"/>
        </w:rPr>
      </w:pPr>
      <w:r>
        <w:rPr>
          <w:rFonts w:ascii="Georgia" w:hAnsi="Georgia"/>
          <w:sz w:val="20"/>
          <w:szCs w:val="20"/>
        </w:rPr>
        <w:t xml:space="preserve">This guidance is based on two regulations 45 CFR 46 (Common Rule) and FDA regulations 21 CFR </w:t>
      </w:r>
      <w:r w:rsidRPr="00000C34">
        <w:rPr>
          <w:rFonts w:ascii="Georgia" w:hAnsi="Georgia"/>
          <w:sz w:val="20"/>
          <w:szCs w:val="20"/>
        </w:rPr>
        <w:t>parts 56</w:t>
      </w:r>
      <w:r>
        <w:rPr>
          <w:rFonts w:ascii="Georgia" w:hAnsi="Georgia"/>
          <w:sz w:val="20"/>
          <w:szCs w:val="20"/>
        </w:rPr>
        <w:t>.108(b)(1)</w:t>
      </w:r>
      <w:r w:rsidRPr="00000C34">
        <w:rPr>
          <w:rFonts w:ascii="Georgia" w:hAnsi="Georgia"/>
          <w:sz w:val="20"/>
          <w:szCs w:val="20"/>
        </w:rPr>
        <w:t>, 312</w:t>
      </w:r>
      <w:r>
        <w:rPr>
          <w:rFonts w:ascii="Georgia" w:hAnsi="Georgia"/>
          <w:sz w:val="20"/>
          <w:szCs w:val="20"/>
        </w:rPr>
        <w:t>.53(c)(1)(vii), 312.66</w:t>
      </w:r>
      <w:r w:rsidRPr="00000C34">
        <w:rPr>
          <w:rFonts w:ascii="Georgia" w:hAnsi="Georgia"/>
          <w:sz w:val="20"/>
          <w:szCs w:val="20"/>
        </w:rPr>
        <w:t xml:space="preserve"> and 812</w:t>
      </w:r>
      <w:r w:rsidR="00285401" w:rsidRPr="00000C34">
        <w:rPr>
          <w:rFonts w:ascii="Georgia" w:hAnsi="Georgia"/>
          <w:sz w:val="20"/>
          <w:szCs w:val="20"/>
        </w:rPr>
        <w:t xml:space="preserve">, </w:t>
      </w:r>
      <w:r w:rsidR="00285401">
        <w:rPr>
          <w:rFonts w:ascii="Georgia" w:hAnsi="Georgia"/>
          <w:sz w:val="20"/>
          <w:szCs w:val="20"/>
        </w:rPr>
        <w:t>requiring</w:t>
      </w:r>
      <w:r>
        <w:rPr>
          <w:rFonts w:ascii="Georgia" w:hAnsi="Georgia"/>
          <w:sz w:val="20"/>
          <w:szCs w:val="20"/>
        </w:rPr>
        <w:t xml:space="preserve"> </w:t>
      </w:r>
      <w:r w:rsidRPr="00000C34">
        <w:rPr>
          <w:rFonts w:ascii="Georgia" w:hAnsi="Georgia"/>
          <w:sz w:val="20"/>
          <w:szCs w:val="20"/>
        </w:rPr>
        <w:t>adverse drug events and unanticip</w:t>
      </w:r>
      <w:r>
        <w:rPr>
          <w:rFonts w:ascii="Georgia" w:hAnsi="Georgia"/>
          <w:sz w:val="20"/>
          <w:szCs w:val="20"/>
        </w:rPr>
        <w:t>ated adverse device effects, together referred to as ‘</w:t>
      </w:r>
      <w:r w:rsidRPr="00000C34">
        <w:rPr>
          <w:rFonts w:ascii="Georgia" w:hAnsi="Georgia"/>
          <w:sz w:val="20"/>
          <w:szCs w:val="20"/>
        </w:rPr>
        <w:t xml:space="preserve">'unanticipated problems" </w:t>
      </w:r>
      <w:r w:rsidRPr="00906DC8">
        <w:rPr>
          <w:rFonts w:ascii="Georgia" w:hAnsi="Georgia"/>
          <w:b/>
          <w:sz w:val="20"/>
          <w:szCs w:val="20"/>
        </w:rPr>
        <w:t>must be reported to the IRB, study sponsor, and FDA.</w:t>
      </w:r>
    </w:p>
    <w:p w:rsidR="00E53AF7" w:rsidRDefault="00E53AF7" w:rsidP="00000C34">
      <w:pPr>
        <w:spacing w:after="0" w:line="240" w:lineRule="auto"/>
        <w:rPr>
          <w:rFonts w:ascii="Georgia" w:hAnsi="Georgia"/>
          <w:sz w:val="20"/>
          <w:szCs w:val="20"/>
        </w:rPr>
      </w:pPr>
    </w:p>
    <w:p w:rsidR="00000C34" w:rsidRDefault="00000C34" w:rsidP="00000C34">
      <w:pPr>
        <w:spacing w:after="0" w:line="240" w:lineRule="auto"/>
        <w:rPr>
          <w:rFonts w:ascii="Georgia" w:hAnsi="Georgia"/>
          <w:sz w:val="20"/>
          <w:szCs w:val="20"/>
        </w:rPr>
      </w:pPr>
      <w:r w:rsidRPr="00000C34">
        <w:rPr>
          <w:rFonts w:ascii="Georgia" w:hAnsi="Georgia"/>
          <w:sz w:val="20"/>
          <w:szCs w:val="20"/>
        </w:rPr>
        <w:t xml:space="preserve">This guidance requires investigators </w:t>
      </w:r>
      <w:r>
        <w:rPr>
          <w:rFonts w:ascii="Georgia" w:hAnsi="Georgia"/>
          <w:sz w:val="20"/>
          <w:szCs w:val="20"/>
        </w:rPr>
        <w:t>conducting</w:t>
      </w:r>
      <w:r w:rsidRPr="00000C34">
        <w:rPr>
          <w:rFonts w:ascii="Georgia" w:hAnsi="Georgia"/>
          <w:sz w:val="20"/>
          <w:szCs w:val="20"/>
        </w:rPr>
        <w:t xml:space="preserve"> human subject </w:t>
      </w:r>
      <w:r>
        <w:rPr>
          <w:rFonts w:ascii="Georgia" w:hAnsi="Georgia"/>
          <w:sz w:val="20"/>
          <w:szCs w:val="20"/>
        </w:rPr>
        <w:t>research protocols must submit their proposals</w:t>
      </w:r>
      <w:r w:rsidRPr="00000C34">
        <w:rPr>
          <w:rFonts w:ascii="Georgia" w:hAnsi="Georgia"/>
          <w:sz w:val="20"/>
          <w:szCs w:val="20"/>
        </w:rPr>
        <w:t xml:space="preserve"> for review by the Institutio</w:t>
      </w:r>
      <w:r>
        <w:rPr>
          <w:rFonts w:ascii="Georgia" w:hAnsi="Georgia"/>
          <w:sz w:val="20"/>
          <w:szCs w:val="20"/>
        </w:rPr>
        <w:t>n Review Board.  RowanSOM IRB is the designated IRB to review   clinical research and clinical trials irrespective of the campus where research is conducted.</w:t>
      </w:r>
    </w:p>
    <w:p w:rsidR="00E53AF7" w:rsidRPr="00E53AF7" w:rsidRDefault="00E53AF7" w:rsidP="00000C34">
      <w:pPr>
        <w:spacing w:after="0" w:line="240" w:lineRule="auto"/>
        <w:rPr>
          <w:rFonts w:ascii="Georgia" w:hAnsi="Georgia"/>
          <w:b/>
          <w:sz w:val="20"/>
          <w:szCs w:val="20"/>
        </w:rPr>
      </w:pPr>
    </w:p>
    <w:p w:rsidR="00E53AF7" w:rsidRPr="00E53AF7" w:rsidRDefault="00E53AF7" w:rsidP="00E53AF7">
      <w:pPr>
        <w:pStyle w:val="ListParagraph"/>
        <w:numPr>
          <w:ilvl w:val="0"/>
          <w:numId w:val="3"/>
        </w:numPr>
        <w:spacing w:after="0" w:line="240" w:lineRule="auto"/>
        <w:ind w:left="360"/>
        <w:rPr>
          <w:rFonts w:ascii="Georgia" w:hAnsi="Georgia"/>
          <w:b/>
          <w:sz w:val="20"/>
          <w:szCs w:val="20"/>
        </w:rPr>
      </w:pPr>
      <w:r w:rsidRPr="00E53AF7">
        <w:rPr>
          <w:rFonts w:ascii="Georgia" w:hAnsi="Georgia"/>
          <w:b/>
          <w:sz w:val="20"/>
          <w:szCs w:val="20"/>
        </w:rPr>
        <w:t>Definition</w:t>
      </w:r>
      <w:r w:rsidR="00906DC8">
        <w:rPr>
          <w:rFonts w:ascii="Georgia" w:hAnsi="Georgia"/>
          <w:b/>
          <w:sz w:val="20"/>
          <w:szCs w:val="20"/>
        </w:rPr>
        <w:t>s</w:t>
      </w:r>
    </w:p>
    <w:p w:rsidR="00000C34" w:rsidRPr="00E53AF7" w:rsidRDefault="00000C34" w:rsidP="00E53AF7">
      <w:pPr>
        <w:spacing w:after="0" w:line="240" w:lineRule="auto"/>
        <w:rPr>
          <w:rFonts w:ascii="Georgia" w:hAnsi="Georgia"/>
          <w:sz w:val="20"/>
          <w:szCs w:val="20"/>
        </w:rPr>
      </w:pPr>
      <w:r w:rsidRPr="00E53AF7">
        <w:rPr>
          <w:rFonts w:ascii="Georgia" w:hAnsi="Georgia"/>
          <w:sz w:val="20"/>
          <w:szCs w:val="20"/>
        </w:rPr>
        <w:t xml:space="preserve">An unanticipated </w:t>
      </w:r>
      <w:r w:rsidR="00E53AF7" w:rsidRPr="00E53AF7">
        <w:rPr>
          <w:rFonts w:ascii="Georgia" w:hAnsi="Georgia"/>
          <w:sz w:val="20"/>
          <w:szCs w:val="20"/>
        </w:rPr>
        <w:t>problem or event must fulfill the following criteria:</w:t>
      </w:r>
    </w:p>
    <w:p w:rsidR="00E53AF7" w:rsidRPr="00E53AF7" w:rsidRDefault="00E53AF7" w:rsidP="00E53AF7">
      <w:pPr>
        <w:spacing w:after="0" w:line="240" w:lineRule="auto"/>
        <w:ind w:left="720" w:hanging="360"/>
        <w:rPr>
          <w:rFonts w:ascii="Georgia" w:hAnsi="Georgia"/>
          <w:sz w:val="20"/>
          <w:szCs w:val="20"/>
        </w:rPr>
      </w:pPr>
      <w:r w:rsidRPr="00E53AF7">
        <w:rPr>
          <w:rFonts w:ascii="Georgia" w:hAnsi="Georgia"/>
          <w:sz w:val="20"/>
          <w:szCs w:val="20"/>
        </w:rPr>
        <w:t>1.   It is unexpected in terms of nature, severity or frequency, given the research protocol, investigator’s brochure, IRB-approved informed consent document, product labeling and other sources of information, and given the characteristics of the subject population being studied (expected natural progression of subjects’ disease, disorder or condition or predisposing risk factor profiles)</w:t>
      </w:r>
    </w:p>
    <w:p w:rsidR="00E53AF7" w:rsidRPr="00E53AF7" w:rsidRDefault="00E53AF7" w:rsidP="00E53AF7">
      <w:pPr>
        <w:spacing w:after="0" w:line="240" w:lineRule="auto"/>
        <w:ind w:left="720" w:hanging="360"/>
        <w:rPr>
          <w:rFonts w:ascii="Georgia" w:hAnsi="Georgia"/>
          <w:sz w:val="20"/>
          <w:szCs w:val="20"/>
        </w:rPr>
      </w:pPr>
      <w:r w:rsidRPr="00E53AF7">
        <w:rPr>
          <w:rFonts w:ascii="Georgia" w:hAnsi="Georgia"/>
          <w:sz w:val="20"/>
          <w:szCs w:val="20"/>
        </w:rPr>
        <w:t>2.   It is related or possibly related to participation in the research (i.e. is there a definite or reasonable possibility that the incident, experience or outcome may have been caused by the research drug/device or research procedures?)</w:t>
      </w:r>
    </w:p>
    <w:p w:rsidR="00906DC8" w:rsidRDefault="00E53AF7" w:rsidP="001D3D7E">
      <w:pPr>
        <w:spacing w:after="0" w:line="240" w:lineRule="auto"/>
        <w:ind w:left="720" w:hanging="360"/>
        <w:rPr>
          <w:rFonts w:ascii="Georgia" w:hAnsi="Georgia"/>
          <w:sz w:val="20"/>
          <w:szCs w:val="20"/>
        </w:rPr>
      </w:pPr>
      <w:r w:rsidRPr="00E53AF7">
        <w:rPr>
          <w:rFonts w:ascii="Georgia" w:hAnsi="Georgia"/>
          <w:sz w:val="20"/>
          <w:szCs w:val="20"/>
        </w:rPr>
        <w:t>3.   The event can potentially place the research subjects or others at a greater risk of harm (including physical, psychological, economic or social harm) than was previously known or recognized).</w:t>
      </w:r>
      <w:r w:rsidR="001D3D7E" w:rsidRPr="001D3D7E">
        <w:t xml:space="preserve"> </w:t>
      </w:r>
    </w:p>
    <w:p w:rsidR="00906DC8" w:rsidRDefault="00906DC8" w:rsidP="00906DC8">
      <w:pPr>
        <w:spacing w:after="0" w:line="240" w:lineRule="auto"/>
        <w:rPr>
          <w:rFonts w:ascii="Georgia" w:hAnsi="Georgia"/>
          <w:sz w:val="20"/>
          <w:szCs w:val="20"/>
        </w:rPr>
      </w:pPr>
    </w:p>
    <w:p w:rsidR="00906DC8" w:rsidRPr="00906DC8" w:rsidRDefault="00285401" w:rsidP="00906DC8">
      <w:pPr>
        <w:pStyle w:val="ListParagraph"/>
        <w:numPr>
          <w:ilvl w:val="0"/>
          <w:numId w:val="3"/>
        </w:numPr>
        <w:spacing w:after="0" w:line="240" w:lineRule="auto"/>
        <w:ind w:left="360"/>
        <w:rPr>
          <w:rFonts w:ascii="Georgia" w:hAnsi="Georgia"/>
          <w:b/>
          <w:sz w:val="20"/>
          <w:szCs w:val="20"/>
        </w:rPr>
      </w:pPr>
      <w:r w:rsidRPr="00906DC8">
        <w:rPr>
          <w:rFonts w:ascii="Georgia" w:hAnsi="Georgia"/>
          <w:b/>
          <w:sz w:val="20"/>
          <w:szCs w:val="20"/>
        </w:rPr>
        <w:t>Criteria</w:t>
      </w:r>
      <w:r w:rsidR="00906DC8" w:rsidRPr="00906DC8">
        <w:rPr>
          <w:rFonts w:ascii="Georgia" w:hAnsi="Georgia"/>
          <w:b/>
          <w:sz w:val="20"/>
          <w:szCs w:val="20"/>
        </w:rPr>
        <w:t xml:space="preserve"> for unanticipated events</w:t>
      </w:r>
    </w:p>
    <w:p w:rsidR="00906DC8" w:rsidRPr="00906DC8" w:rsidRDefault="00906DC8" w:rsidP="00B71FE4">
      <w:pPr>
        <w:pStyle w:val="ListParagraph"/>
        <w:spacing w:after="0" w:line="240" w:lineRule="auto"/>
        <w:ind w:left="0"/>
        <w:rPr>
          <w:rFonts w:ascii="Georgia" w:hAnsi="Georgia"/>
          <w:sz w:val="20"/>
          <w:szCs w:val="20"/>
        </w:rPr>
      </w:pPr>
      <w:r w:rsidRPr="00906DC8">
        <w:rPr>
          <w:rFonts w:ascii="Georgia" w:hAnsi="Georgia"/>
          <w:sz w:val="20"/>
          <w:szCs w:val="20"/>
        </w:rPr>
        <w:t>Incidents, experienc</w:t>
      </w:r>
      <w:r w:rsidR="00B71FE4">
        <w:rPr>
          <w:rFonts w:ascii="Georgia" w:hAnsi="Georgia"/>
          <w:sz w:val="20"/>
          <w:szCs w:val="20"/>
        </w:rPr>
        <w:t xml:space="preserve">es, outcomes and adverse events, </w:t>
      </w:r>
      <w:r w:rsidRPr="00906DC8">
        <w:rPr>
          <w:rFonts w:ascii="Georgia" w:hAnsi="Georgia"/>
          <w:sz w:val="20"/>
          <w:szCs w:val="20"/>
        </w:rPr>
        <w:t>which meet all the criteria below</w:t>
      </w:r>
      <w:r w:rsidR="00B71FE4">
        <w:rPr>
          <w:rFonts w:ascii="Georgia" w:hAnsi="Georgia"/>
          <w:sz w:val="20"/>
          <w:szCs w:val="20"/>
        </w:rPr>
        <w:t xml:space="preserve">. When the criteria are met, a report should be sent to </w:t>
      </w:r>
      <w:r w:rsidRPr="00906DC8">
        <w:rPr>
          <w:rFonts w:ascii="Georgia" w:hAnsi="Georgia"/>
          <w:sz w:val="20"/>
          <w:szCs w:val="20"/>
        </w:rPr>
        <w:t>RowanSOM IRB.  The criteria are:</w:t>
      </w:r>
    </w:p>
    <w:p w:rsidR="00906DC8" w:rsidRPr="00906DC8" w:rsidRDefault="00906DC8" w:rsidP="00906DC8">
      <w:pPr>
        <w:pStyle w:val="ListParagraph"/>
        <w:numPr>
          <w:ilvl w:val="0"/>
          <w:numId w:val="4"/>
        </w:numPr>
        <w:spacing w:after="0" w:line="240" w:lineRule="auto"/>
        <w:rPr>
          <w:rFonts w:ascii="Georgia" w:hAnsi="Georgia"/>
          <w:sz w:val="20"/>
          <w:szCs w:val="20"/>
        </w:rPr>
      </w:pPr>
      <w:r w:rsidRPr="00906DC8">
        <w:rPr>
          <w:rFonts w:ascii="Georgia" w:hAnsi="Georgia"/>
          <w:b/>
          <w:sz w:val="20"/>
          <w:szCs w:val="20"/>
        </w:rPr>
        <w:t>Unexpected</w:t>
      </w:r>
      <w:r w:rsidRPr="00906DC8">
        <w:rPr>
          <w:rFonts w:ascii="Georgia" w:hAnsi="Georgia"/>
          <w:sz w:val="20"/>
          <w:szCs w:val="20"/>
        </w:rPr>
        <w:t xml:space="preserve"> in terms of nature, severity or frequency, given the research protocol, investigator's brochure, IRB-approved informed consent document, product labeling and other sources of information, and given the characteristics of the subject population being studied (expected natural progression of subjects' disease, disorder or condition or predisposing risk factor profiles)?</w:t>
      </w:r>
    </w:p>
    <w:p w:rsidR="00906DC8" w:rsidRPr="00906DC8" w:rsidRDefault="00906DC8" w:rsidP="00906DC8">
      <w:pPr>
        <w:pStyle w:val="ListParagraph"/>
        <w:numPr>
          <w:ilvl w:val="0"/>
          <w:numId w:val="4"/>
        </w:numPr>
        <w:spacing w:after="0" w:line="240" w:lineRule="auto"/>
        <w:rPr>
          <w:rFonts w:ascii="Georgia" w:hAnsi="Georgia"/>
          <w:sz w:val="20"/>
          <w:szCs w:val="20"/>
        </w:rPr>
      </w:pPr>
      <w:r w:rsidRPr="00906DC8">
        <w:rPr>
          <w:rFonts w:ascii="Georgia" w:hAnsi="Georgia"/>
          <w:b/>
          <w:sz w:val="20"/>
          <w:szCs w:val="20"/>
        </w:rPr>
        <w:t>Related or possibly related</w:t>
      </w:r>
      <w:r w:rsidRPr="00906DC8">
        <w:rPr>
          <w:rFonts w:ascii="Georgia" w:hAnsi="Georgia"/>
          <w:sz w:val="20"/>
          <w:szCs w:val="20"/>
        </w:rPr>
        <w:t xml:space="preserve"> to participation in the research, i.e., is there a definite or reasonable possibility that the incident, experience or outcome may have been caused by the research drug/device or research procedures?</w:t>
      </w:r>
    </w:p>
    <w:p w:rsidR="00906DC8" w:rsidRPr="00906DC8" w:rsidRDefault="00B71FE4" w:rsidP="00906DC8">
      <w:pPr>
        <w:pStyle w:val="ListParagraph"/>
        <w:numPr>
          <w:ilvl w:val="0"/>
          <w:numId w:val="4"/>
        </w:numPr>
        <w:spacing w:after="0" w:line="240" w:lineRule="auto"/>
        <w:rPr>
          <w:rFonts w:ascii="Georgia" w:hAnsi="Georgia"/>
          <w:sz w:val="20"/>
          <w:szCs w:val="20"/>
        </w:rPr>
      </w:pPr>
      <w:r>
        <w:rPr>
          <w:rFonts w:ascii="Georgia" w:hAnsi="Georgia"/>
          <w:b/>
          <w:sz w:val="20"/>
          <w:szCs w:val="20"/>
        </w:rPr>
        <w:t>P</w:t>
      </w:r>
      <w:r w:rsidR="00906DC8" w:rsidRPr="00906DC8">
        <w:rPr>
          <w:rFonts w:ascii="Georgia" w:hAnsi="Georgia"/>
          <w:b/>
          <w:sz w:val="20"/>
          <w:szCs w:val="20"/>
        </w:rPr>
        <w:t>otentially place the research subjects or others at a greater risk of harm</w:t>
      </w:r>
      <w:r w:rsidR="00906DC8" w:rsidRPr="00906DC8">
        <w:rPr>
          <w:rFonts w:ascii="Georgia" w:hAnsi="Georgia"/>
          <w:sz w:val="20"/>
          <w:szCs w:val="20"/>
        </w:rPr>
        <w:t xml:space="preserve"> (including physical, psychological, economic or social harm) than was previously known or recognized?</w:t>
      </w:r>
    </w:p>
    <w:p w:rsidR="00906DC8" w:rsidRDefault="00906DC8" w:rsidP="00906DC8">
      <w:pPr>
        <w:spacing w:after="0" w:line="240" w:lineRule="auto"/>
        <w:rPr>
          <w:rFonts w:ascii="Georgia" w:hAnsi="Georgia"/>
          <w:sz w:val="20"/>
          <w:szCs w:val="20"/>
        </w:rPr>
      </w:pPr>
    </w:p>
    <w:p w:rsidR="001D3D7E" w:rsidRPr="001D3D7E" w:rsidRDefault="001D3D7E" w:rsidP="001D3D7E">
      <w:pPr>
        <w:pStyle w:val="ListParagraph"/>
        <w:numPr>
          <w:ilvl w:val="0"/>
          <w:numId w:val="3"/>
        </w:numPr>
        <w:spacing w:after="0" w:line="240" w:lineRule="auto"/>
        <w:ind w:left="360"/>
        <w:rPr>
          <w:rFonts w:ascii="Georgia" w:hAnsi="Georgia"/>
          <w:b/>
          <w:sz w:val="20"/>
          <w:szCs w:val="20"/>
        </w:rPr>
      </w:pPr>
      <w:r w:rsidRPr="001D3D7E">
        <w:rPr>
          <w:rFonts w:ascii="Georgia" w:hAnsi="Georgia"/>
          <w:b/>
          <w:sz w:val="20"/>
          <w:szCs w:val="20"/>
        </w:rPr>
        <w:t>Researchers responsibility</w:t>
      </w:r>
    </w:p>
    <w:p w:rsidR="00E53AF7" w:rsidRDefault="001D3D7E" w:rsidP="001D3D7E">
      <w:pPr>
        <w:spacing w:after="0" w:line="240" w:lineRule="auto"/>
        <w:ind w:left="360"/>
        <w:rPr>
          <w:rFonts w:ascii="Georgia" w:hAnsi="Georgia"/>
          <w:sz w:val="20"/>
          <w:szCs w:val="20"/>
        </w:rPr>
      </w:pPr>
      <w:r w:rsidRPr="001D3D7E">
        <w:rPr>
          <w:rFonts w:ascii="Georgia" w:hAnsi="Georgia"/>
          <w:sz w:val="20"/>
          <w:szCs w:val="20"/>
        </w:rPr>
        <w:t>Researchers must make a determination that the event is unexpected, unanticipated, and potentially impacts risk before submitting a reportable event to the IRB. Event reports not fulfilling the above criteria will be returned to the investigator but may be submitted at time of continuing review in an aggregate or summary format</w:t>
      </w:r>
    </w:p>
    <w:p w:rsidR="001D3D7E" w:rsidRDefault="001D3D7E" w:rsidP="00E53AF7">
      <w:pPr>
        <w:spacing w:after="0" w:line="240" w:lineRule="auto"/>
        <w:ind w:left="720" w:hanging="360"/>
        <w:rPr>
          <w:rFonts w:ascii="Georgia" w:hAnsi="Georgia"/>
          <w:sz w:val="20"/>
          <w:szCs w:val="20"/>
        </w:rPr>
      </w:pPr>
    </w:p>
    <w:p w:rsidR="00000C34" w:rsidRPr="00E53AF7" w:rsidRDefault="00000C34" w:rsidP="001D3D7E">
      <w:pPr>
        <w:pStyle w:val="ListParagraph"/>
        <w:numPr>
          <w:ilvl w:val="0"/>
          <w:numId w:val="3"/>
        </w:numPr>
        <w:spacing w:after="0" w:line="240" w:lineRule="auto"/>
        <w:ind w:left="360"/>
        <w:rPr>
          <w:rFonts w:ascii="Georgia" w:hAnsi="Georgia"/>
          <w:sz w:val="20"/>
          <w:szCs w:val="20"/>
        </w:rPr>
      </w:pPr>
      <w:r w:rsidRPr="00E53AF7">
        <w:rPr>
          <w:rFonts w:ascii="Georgia" w:hAnsi="Georgia"/>
          <w:b/>
          <w:sz w:val="20"/>
          <w:szCs w:val="20"/>
        </w:rPr>
        <w:t>Reporting</w:t>
      </w:r>
      <w:r w:rsidR="00E53AF7" w:rsidRPr="00E53AF7">
        <w:rPr>
          <w:rFonts w:ascii="Georgia" w:hAnsi="Georgia"/>
          <w:b/>
          <w:sz w:val="20"/>
          <w:szCs w:val="20"/>
        </w:rPr>
        <w:t xml:space="preserve"> timeline</w:t>
      </w:r>
    </w:p>
    <w:p w:rsidR="00E53AF7" w:rsidRPr="00E53AF7" w:rsidRDefault="00E53AF7" w:rsidP="00E53AF7">
      <w:pPr>
        <w:pStyle w:val="ListParagraph"/>
        <w:spacing w:after="0" w:line="240" w:lineRule="auto"/>
        <w:ind w:hanging="360"/>
        <w:rPr>
          <w:rFonts w:ascii="Georgia" w:hAnsi="Georgia"/>
          <w:sz w:val="20"/>
          <w:szCs w:val="20"/>
        </w:rPr>
      </w:pPr>
      <w:r w:rsidRPr="00E53AF7">
        <w:rPr>
          <w:rFonts w:ascii="Georgia" w:hAnsi="Georgia"/>
          <w:sz w:val="20"/>
          <w:szCs w:val="20"/>
        </w:rPr>
        <w:t xml:space="preserve">1.   </w:t>
      </w:r>
      <w:r w:rsidR="001D3D7E">
        <w:rPr>
          <w:rFonts w:ascii="Georgia" w:hAnsi="Georgia"/>
          <w:sz w:val="20"/>
          <w:szCs w:val="20"/>
        </w:rPr>
        <w:tab/>
      </w:r>
      <w:r w:rsidRPr="00E53AF7">
        <w:rPr>
          <w:rFonts w:ascii="Georgia" w:hAnsi="Georgia"/>
          <w:sz w:val="20"/>
          <w:szCs w:val="20"/>
        </w:rPr>
        <w:t>Reported w</w:t>
      </w:r>
      <w:r>
        <w:rPr>
          <w:rFonts w:ascii="Georgia" w:hAnsi="Georgia"/>
          <w:sz w:val="20"/>
          <w:szCs w:val="20"/>
        </w:rPr>
        <w:t>ithin 24 hours of discovery when a</w:t>
      </w:r>
      <w:r w:rsidRPr="00E53AF7">
        <w:rPr>
          <w:rFonts w:ascii="Georgia" w:hAnsi="Georgia"/>
          <w:sz w:val="20"/>
          <w:szCs w:val="20"/>
        </w:rPr>
        <w:t xml:space="preserve"> death in an interventional study for which </w:t>
      </w:r>
      <w:r>
        <w:rPr>
          <w:rFonts w:ascii="Georgia" w:hAnsi="Georgia"/>
          <w:sz w:val="20"/>
          <w:szCs w:val="20"/>
        </w:rPr>
        <w:t>the Row</w:t>
      </w:r>
      <w:r w:rsidRPr="00E53AF7">
        <w:rPr>
          <w:rFonts w:ascii="Georgia" w:hAnsi="Georgia"/>
          <w:sz w:val="20"/>
          <w:szCs w:val="20"/>
        </w:rPr>
        <w:t>anSOM IRB is the IRB of record.</w:t>
      </w:r>
    </w:p>
    <w:p w:rsidR="00E53AF7" w:rsidRPr="00E53AF7" w:rsidRDefault="00E53AF7" w:rsidP="001D3D7E">
      <w:pPr>
        <w:pStyle w:val="ListParagraph"/>
        <w:spacing w:after="0" w:line="240" w:lineRule="auto"/>
        <w:ind w:hanging="360"/>
        <w:rPr>
          <w:rFonts w:ascii="Georgia" w:hAnsi="Georgia"/>
          <w:sz w:val="20"/>
          <w:szCs w:val="20"/>
        </w:rPr>
      </w:pPr>
      <w:r w:rsidRPr="00E53AF7">
        <w:rPr>
          <w:rFonts w:ascii="Georgia" w:hAnsi="Georgia"/>
          <w:sz w:val="20"/>
          <w:szCs w:val="20"/>
        </w:rPr>
        <w:t xml:space="preserve">2.  </w:t>
      </w:r>
      <w:r w:rsidR="001D3D7E">
        <w:rPr>
          <w:rFonts w:ascii="Georgia" w:hAnsi="Georgia"/>
          <w:sz w:val="20"/>
          <w:szCs w:val="20"/>
        </w:rPr>
        <w:tab/>
        <w:t>Reported within one week of discovery when a</w:t>
      </w:r>
      <w:r w:rsidRPr="00E53AF7">
        <w:rPr>
          <w:rFonts w:ascii="Georgia" w:hAnsi="Georgia"/>
          <w:sz w:val="20"/>
          <w:szCs w:val="20"/>
        </w:rPr>
        <w:t>n unanticipated problem which is a serious adverse event</w:t>
      </w:r>
      <w:r w:rsidR="001D3D7E">
        <w:rPr>
          <w:rFonts w:ascii="Georgia" w:hAnsi="Georgia"/>
          <w:sz w:val="20"/>
          <w:szCs w:val="20"/>
        </w:rPr>
        <w:t xml:space="preserve"> (See definition for serious adverse event)</w:t>
      </w:r>
    </w:p>
    <w:p w:rsidR="00E53AF7" w:rsidRDefault="00E53AF7" w:rsidP="00E53AF7">
      <w:pPr>
        <w:pStyle w:val="ListParagraph"/>
        <w:spacing w:after="0" w:line="240" w:lineRule="auto"/>
        <w:ind w:left="360"/>
        <w:rPr>
          <w:rFonts w:ascii="Georgia" w:hAnsi="Georgia"/>
          <w:sz w:val="20"/>
          <w:szCs w:val="20"/>
        </w:rPr>
      </w:pPr>
      <w:r w:rsidRPr="00E53AF7">
        <w:rPr>
          <w:rFonts w:ascii="Georgia" w:hAnsi="Georgia"/>
          <w:sz w:val="20"/>
          <w:szCs w:val="20"/>
        </w:rPr>
        <w:t xml:space="preserve">3.   </w:t>
      </w:r>
      <w:r w:rsidR="001D3D7E">
        <w:rPr>
          <w:rFonts w:ascii="Georgia" w:hAnsi="Georgia"/>
          <w:sz w:val="20"/>
          <w:szCs w:val="20"/>
        </w:rPr>
        <w:tab/>
        <w:t>Reported within two weeks of discovery for a</w:t>
      </w:r>
      <w:r w:rsidRPr="00E53AF7">
        <w:rPr>
          <w:rFonts w:ascii="Georgia" w:hAnsi="Georgia"/>
          <w:sz w:val="20"/>
          <w:szCs w:val="20"/>
        </w:rPr>
        <w:t>ll other unanticipated problems.</w:t>
      </w:r>
    </w:p>
    <w:p w:rsidR="001A1811" w:rsidRDefault="001A1811" w:rsidP="00E53AF7">
      <w:pPr>
        <w:pStyle w:val="ListParagraph"/>
        <w:spacing w:after="0" w:line="240" w:lineRule="auto"/>
        <w:ind w:left="360"/>
        <w:rPr>
          <w:rFonts w:ascii="Georgia" w:hAnsi="Georgia"/>
          <w:sz w:val="20"/>
          <w:szCs w:val="20"/>
        </w:rPr>
      </w:pPr>
    </w:p>
    <w:p w:rsidR="001A1811" w:rsidRDefault="001A1811" w:rsidP="001A1811">
      <w:pPr>
        <w:pStyle w:val="ListParagraph"/>
        <w:numPr>
          <w:ilvl w:val="0"/>
          <w:numId w:val="3"/>
        </w:numPr>
        <w:spacing w:after="0" w:line="240" w:lineRule="auto"/>
        <w:ind w:left="360"/>
        <w:rPr>
          <w:rFonts w:ascii="Georgia" w:hAnsi="Georgia"/>
          <w:b/>
          <w:sz w:val="20"/>
          <w:szCs w:val="20"/>
        </w:rPr>
      </w:pPr>
      <w:r w:rsidRPr="001A1811">
        <w:rPr>
          <w:rFonts w:ascii="Georgia" w:hAnsi="Georgia"/>
          <w:b/>
          <w:sz w:val="20"/>
          <w:szCs w:val="20"/>
        </w:rPr>
        <w:t>Reporting</w:t>
      </w:r>
    </w:p>
    <w:p w:rsidR="001A1811" w:rsidRDefault="001A1811" w:rsidP="00095131">
      <w:pPr>
        <w:pStyle w:val="ListParagraph"/>
        <w:numPr>
          <w:ilvl w:val="0"/>
          <w:numId w:val="5"/>
        </w:numPr>
        <w:spacing w:after="0" w:line="240" w:lineRule="auto"/>
        <w:rPr>
          <w:rFonts w:ascii="Georgia" w:hAnsi="Georgia"/>
          <w:sz w:val="20"/>
          <w:szCs w:val="20"/>
        </w:rPr>
      </w:pPr>
      <w:r w:rsidRPr="001A1811">
        <w:rPr>
          <w:rFonts w:ascii="Georgia" w:hAnsi="Georgia"/>
          <w:sz w:val="20"/>
          <w:szCs w:val="20"/>
        </w:rPr>
        <w:t>Unanticipated adverse events that are also unanticipated problems involving risks to subject or others (e.g., those that are related and or possibly related to the research) must be reported to the IRB and other appropriate agencies as they occur. Further guidance on reporting external un-</w:t>
      </w:r>
      <w:r w:rsidRPr="001A1811">
        <w:rPr>
          <w:rFonts w:ascii="Georgia" w:hAnsi="Georgia"/>
          <w:sz w:val="20"/>
          <w:szCs w:val="20"/>
        </w:rPr>
        <w:lastRenderedPageBreak/>
        <w:t xml:space="preserve">anticipated adverse events and local unanticipated adverse is available at: </w:t>
      </w:r>
      <w:hyperlink r:id="rId5" w:history="1">
        <w:r w:rsidRPr="001A1811">
          <w:rPr>
            <w:rStyle w:val="Hyperlink"/>
            <w:rFonts w:ascii="Georgia" w:hAnsi="Georgia"/>
            <w:sz w:val="20"/>
            <w:szCs w:val="20"/>
          </w:rPr>
          <w:t>http://www.hhs.gov/ohrp/policy/advevntguid.html</w:t>
        </w:r>
      </w:hyperlink>
      <w:r w:rsidRPr="001A1811">
        <w:rPr>
          <w:rFonts w:ascii="Georgia" w:hAnsi="Georgia"/>
          <w:sz w:val="20"/>
          <w:szCs w:val="20"/>
        </w:rPr>
        <w:t xml:space="preserve">.  and </w:t>
      </w:r>
      <w:hyperlink r:id="rId6" w:history="1">
        <w:r w:rsidRPr="00973F93">
          <w:rPr>
            <w:rStyle w:val="Hyperlink"/>
            <w:rFonts w:ascii="Georgia" w:hAnsi="Georgia"/>
            <w:sz w:val="20"/>
            <w:szCs w:val="20"/>
          </w:rPr>
          <w:t>http://www.fda.gov/downloads/RegulatoryInformation/Guidances/UCM126572.pdf</w:t>
        </w:r>
      </w:hyperlink>
      <w:r>
        <w:rPr>
          <w:rFonts w:ascii="Georgia" w:hAnsi="Georgia"/>
          <w:sz w:val="20"/>
          <w:szCs w:val="20"/>
        </w:rPr>
        <w:t>.</w:t>
      </w:r>
    </w:p>
    <w:p w:rsidR="001A1811" w:rsidRPr="001A1811" w:rsidRDefault="001A1811" w:rsidP="001A1811">
      <w:pPr>
        <w:spacing w:after="0" w:line="240" w:lineRule="auto"/>
        <w:rPr>
          <w:rFonts w:ascii="Georgia" w:hAnsi="Georgia"/>
          <w:b/>
          <w:sz w:val="20"/>
          <w:szCs w:val="20"/>
        </w:rPr>
      </w:pPr>
      <w:r w:rsidRPr="001A1811">
        <w:rPr>
          <w:rFonts w:ascii="Georgia" w:hAnsi="Georgia"/>
          <w:b/>
          <w:sz w:val="20"/>
          <w:szCs w:val="20"/>
        </w:rPr>
        <w:tab/>
      </w:r>
    </w:p>
    <w:p w:rsidR="001A1811" w:rsidRDefault="001A1811" w:rsidP="001A1811">
      <w:pPr>
        <w:pStyle w:val="ListParagraph"/>
        <w:numPr>
          <w:ilvl w:val="0"/>
          <w:numId w:val="5"/>
        </w:numPr>
        <w:spacing w:after="0" w:line="240" w:lineRule="auto"/>
        <w:rPr>
          <w:rFonts w:ascii="Georgia" w:hAnsi="Georgia"/>
          <w:sz w:val="20"/>
          <w:szCs w:val="20"/>
        </w:rPr>
      </w:pPr>
      <w:r w:rsidRPr="001A1811">
        <w:rPr>
          <w:rFonts w:ascii="Georgia" w:hAnsi="Georgia"/>
          <w:sz w:val="20"/>
          <w:szCs w:val="20"/>
        </w:rPr>
        <w:t xml:space="preserve">To report to adverse events to sponsors (Clinical trials), use forms supplied by the sponsor.   In January 2009, FDA issued further guidance on reporting adverse events.  The purpose was to distinguish between adverse events that are unanticipated problems that must be reported to IRBs from those that are not.   For further information on adverse event reporting go to </w:t>
      </w:r>
      <w:hyperlink r:id="rId7" w:history="1">
        <w:r w:rsidRPr="00973F93">
          <w:rPr>
            <w:rStyle w:val="Hyperlink"/>
            <w:rFonts w:ascii="Georgia" w:hAnsi="Georgia"/>
            <w:sz w:val="20"/>
            <w:szCs w:val="20"/>
          </w:rPr>
          <w:t>http://www.fda.gov/downloads/drugs/guidancecomplianceregulatoryinformation/guidances/ucm079753.pdf</w:t>
        </w:r>
      </w:hyperlink>
      <w:r>
        <w:rPr>
          <w:rFonts w:ascii="Georgia" w:hAnsi="Georgia"/>
          <w:sz w:val="20"/>
          <w:szCs w:val="20"/>
        </w:rPr>
        <w:t>.</w:t>
      </w:r>
    </w:p>
    <w:p w:rsidR="001A1811" w:rsidRPr="001A1811" w:rsidRDefault="001A1811" w:rsidP="001A1811">
      <w:pPr>
        <w:pStyle w:val="ListParagraph"/>
        <w:rPr>
          <w:rFonts w:ascii="Georgia" w:hAnsi="Georgia"/>
          <w:sz w:val="20"/>
          <w:szCs w:val="20"/>
        </w:rPr>
      </w:pPr>
    </w:p>
    <w:p w:rsidR="00000C34" w:rsidRPr="001D3D7E" w:rsidRDefault="001D3D7E" w:rsidP="00906DC8">
      <w:pPr>
        <w:pStyle w:val="ListParagraph"/>
        <w:numPr>
          <w:ilvl w:val="0"/>
          <w:numId w:val="3"/>
        </w:numPr>
        <w:tabs>
          <w:tab w:val="left" w:pos="360"/>
        </w:tabs>
        <w:spacing w:after="0"/>
        <w:ind w:left="360"/>
        <w:rPr>
          <w:rFonts w:ascii="Georgia" w:hAnsi="Georgia"/>
          <w:b/>
          <w:sz w:val="20"/>
          <w:szCs w:val="20"/>
        </w:rPr>
      </w:pPr>
      <w:r w:rsidRPr="001D3D7E">
        <w:rPr>
          <w:rFonts w:ascii="Georgia" w:hAnsi="Georgia"/>
          <w:b/>
          <w:sz w:val="20"/>
          <w:szCs w:val="20"/>
        </w:rPr>
        <w:t>IRB Review</w:t>
      </w:r>
    </w:p>
    <w:p w:rsidR="00000C34" w:rsidRDefault="00000C34" w:rsidP="001D3D7E">
      <w:pPr>
        <w:spacing w:after="0"/>
        <w:rPr>
          <w:rFonts w:ascii="Georgia" w:hAnsi="Georgia"/>
          <w:sz w:val="20"/>
          <w:szCs w:val="20"/>
        </w:rPr>
      </w:pPr>
      <w:r w:rsidRPr="001D3D7E">
        <w:rPr>
          <w:rFonts w:ascii="Georgia" w:hAnsi="Georgia"/>
          <w:sz w:val="20"/>
          <w:szCs w:val="20"/>
        </w:rPr>
        <w:t>In accordance with federal regulations 45 CFR 46 and 21 CFR 56.108(</w:t>
      </w:r>
      <w:r w:rsidR="001D3D7E" w:rsidRPr="001D3D7E">
        <w:rPr>
          <w:rFonts w:ascii="Georgia" w:hAnsi="Georgia"/>
          <w:sz w:val="20"/>
          <w:szCs w:val="20"/>
        </w:rPr>
        <w:t xml:space="preserve">b) (1), 312.53(c) (1) (vii), </w:t>
      </w:r>
      <w:r w:rsidRPr="001D3D7E">
        <w:rPr>
          <w:rFonts w:ascii="Georgia" w:hAnsi="Georgia"/>
          <w:sz w:val="20"/>
          <w:szCs w:val="20"/>
        </w:rPr>
        <w:t>Row</w:t>
      </w:r>
      <w:r w:rsidR="001D3D7E" w:rsidRPr="001D3D7E">
        <w:rPr>
          <w:rFonts w:ascii="Georgia" w:hAnsi="Georgia"/>
          <w:sz w:val="20"/>
          <w:szCs w:val="20"/>
        </w:rPr>
        <w:t>anSOM IRB</w:t>
      </w:r>
      <w:r w:rsidRPr="001D3D7E">
        <w:rPr>
          <w:rFonts w:ascii="Georgia" w:hAnsi="Georgia"/>
          <w:sz w:val="20"/>
          <w:szCs w:val="20"/>
        </w:rPr>
        <w:t xml:space="preserve"> will review only unanticipated problems involving risks to subject or others; or a death in an interventional study for which a RowanSOM IRB is the IRB of record that occurred within 30 days of the intervention or interaction.</w:t>
      </w:r>
    </w:p>
    <w:p w:rsidR="00906DC8" w:rsidRDefault="00906DC8" w:rsidP="001D3D7E">
      <w:pPr>
        <w:spacing w:after="0"/>
        <w:rPr>
          <w:rFonts w:ascii="Georgia" w:hAnsi="Georgia"/>
          <w:sz w:val="20"/>
          <w:szCs w:val="20"/>
        </w:rPr>
      </w:pPr>
    </w:p>
    <w:p w:rsidR="00906DC8" w:rsidRPr="00906DC8" w:rsidRDefault="00906DC8" w:rsidP="00906DC8">
      <w:pPr>
        <w:pStyle w:val="ListParagraph"/>
        <w:numPr>
          <w:ilvl w:val="0"/>
          <w:numId w:val="3"/>
        </w:numPr>
        <w:spacing w:after="0"/>
        <w:ind w:left="360"/>
        <w:rPr>
          <w:rFonts w:ascii="Georgia" w:hAnsi="Georgia"/>
          <w:b/>
          <w:sz w:val="20"/>
          <w:szCs w:val="20"/>
        </w:rPr>
      </w:pPr>
      <w:r w:rsidRPr="00906DC8">
        <w:rPr>
          <w:rFonts w:ascii="Georgia" w:hAnsi="Georgia"/>
          <w:b/>
          <w:sz w:val="20"/>
          <w:szCs w:val="20"/>
        </w:rPr>
        <w:t>IRB Action</w:t>
      </w:r>
      <w:r>
        <w:rPr>
          <w:rFonts w:ascii="Georgia" w:hAnsi="Georgia"/>
          <w:b/>
          <w:sz w:val="20"/>
          <w:szCs w:val="20"/>
        </w:rPr>
        <w:t>s</w:t>
      </w:r>
      <w:r w:rsidRPr="00906DC8">
        <w:t xml:space="preserve"> </w:t>
      </w:r>
    </w:p>
    <w:p w:rsidR="00906DC8" w:rsidRPr="00906DC8" w:rsidRDefault="00906DC8" w:rsidP="00906DC8">
      <w:pPr>
        <w:pStyle w:val="ListParagraph"/>
        <w:spacing w:after="0"/>
        <w:ind w:left="0"/>
        <w:rPr>
          <w:rFonts w:ascii="Georgia" w:hAnsi="Georgia"/>
          <w:sz w:val="20"/>
          <w:szCs w:val="20"/>
        </w:rPr>
      </w:pPr>
      <w:r w:rsidRPr="00906DC8">
        <w:rPr>
          <w:rFonts w:ascii="Georgia" w:hAnsi="Georgia"/>
          <w:sz w:val="20"/>
          <w:szCs w:val="20"/>
        </w:rPr>
        <w:t>Following review, the Unanticipated Problem/Serious Adverse Event will receive one of the following status determinations: Accepted or Not Accepted.</w:t>
      </w:r>
      <w:r w:rsidR="00FB0588">
        <w:rPr>
          <w:rFonts w:ascii="Georgia" w:hAnsi="Georgia"/>
          <w:sz w:val="20"/>
          <w:szCs w:val="20"/>
        </w:rPr>
        <w:t xml:space="preserve"> The </w:t>
      </w:r>
      <w:r w:rsidRPr="00906DC8">
        <w:rPr>
          <w:rFonts w:ascii="Georgia" w:hAnsi="Georgia"/>
          <w:sz w:val="20"/>
          <w:szCs w:val="20"/>
        </w:rPr>
        <w:t>principal investigator</w:t>
      </w:r>
      <w:r w:rsidR="00FB0588">
        <w:rPr>
          <w:rFonts w:ascii="Georgia" w:hAnsi="Georgia"/>
          <w:sz w:val="20"/>
          <w:szCs w:val="20"/>
        </w:rPr>
        <w:t xml:space="preserve"> will receive a communication from the IRB</w:t>
      </w:r>
      <w:r w:rsidRPr="00906DC8">
        <w:rPr>
          <w:rFonts w:ascii="Georgia" w:hAnsi="Georgia"/>
          <w:sz w:val="20"/>
          <w:szCs w:val="20"/>
        </w:rPr>
        <w:t xml:space="preserve"> outlining</w:t>
      </w:r>
      <w:r w:rsidR="00FB0588">
        <w:rPr>
          <w:rFonts w:ascii="Georgia" w:hAnsi="Georgia"/>
          <w:sz w:val="20"/>
          <w:szCs w:val="20"/>
        </w:rPr>
        <w:t xml:space="preserve"> steps to follow </w:t>
      </w:r>
      <w:r w:rsidRPr="00906DC8">
        <w:rPr>
          <w:rFonts w:ascii="Georgia" w:hAnsi="Georgia"/>
          <w:sz w:val="20"/>
          <w:szCs w:val="20"/>
        </w:rPr>
        <w:t>as deemed necessary</w:t>
      </w:r>
      <w:r w:rsidR="00FB0588">
        <w:rPr>
          <w:rFonts w:ascii="Georgia" w:hAnsi="Georgia"/>
          <w:sz w:val="20"/>
          <w:szCs w:val="20"/>
        </w:rPr>
        <w:t xml:space="preserve"> to mitigate the event.</w:t>
      </w:r>
    </w:p>
    <w:p w:rsidR="00906DC8" w:rsidRPr="00906DC8" w:rsidRDefault="00906DC8" w:rsidP="00906DC8">
      <w:pPr>
        <w:pStyle w:val="ListParagraph"/>
        <w:spacing w:after="0"/>
        <w:ind w:left="360"/>
        <w:rPr>
          <w:rFonts w:ascii="Georgia" w:hAnsi="Georgia"/>
          <w:b/>
          <w:sz w:val="20"/>
          <w:szCs w:val="20"/>
        </w:rPr>
      </w:pPr>
    </w:p>
    <w:p w:rsidR="00000C34" w:rsidRPr="00000C34" w:rsidRDefault="00000C34" w:rsidP="00000C34">
      <w:pPr>
        <w:jc w:val="center"/>
        <w:rPr>
          <w:rFonts w:ascii="Georgia" w:hAnsi="Georgia"/>
        </w:rPr>
      </w:pPr>
    </w:p>
    <w:sectPr w:rsidR="00000C34" w:rsidRPr="00000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02D98"/>
    <w:multiLevelType w:val="hybridMultilevel"/>
    <w:tmpl w:val="B484A6B2"/>
    <w:lvl w:ilvl="0" w:tplc="94868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746BC"/>
    <w:multiLevelType w:val="hybridMultilevel"/>
    <w:tmpl w:val="8864D854"/>
    <w:lvl w:ilvl="0" w:tplc="9B2EA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54CA7"/>
    <w:multiLevelType w:val="hybridMultilevel"/>
    <w:tmpl w:val="691254A0"/>
    <w:lvl w:ilvl="0" w:tplc="9C5C12C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44110"/>
    <w:multiLevelType w:val="hybridMultilevel"/>
    <w:tmpl w:val="E92CD088"/>
    <w:lvl w:ilvl="0" w:tplc="9AA2D03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95488"/>
    <w:multiLevelType w:val="hybridMultilevel"/>
    <w:tmpl w:val="27BEF47C"/>
    <w:lvl w:ilvl="0" w:tplc="56929C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34"/>
    <w:rsid w:val="00000C34"/>
    <w:rsid w:val="001A1811"/>
    <w:rsid w:val="001D3D7E"/>
    <w:rsid w:val="00285401"/>
    <w:rsid w:val="00906DC8"/>
    <w:rsid w:val="00B710F7"/>
    <w:rsid w:val="00B71FE4"/>
    <w:rsid w:val="00E414A7"/>
    <w:rsid w:val="00E53AF7"/>
    <w:rsid w:val="00FB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BFE6E-7532-4BAF-8AD5-7DBFB228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C34"/>
    <w:pPr>
      <w:ind w:left="720"/>
      <w:contextualSpacing/>
    </w:pPr>
  </w:style>
  <w:style w:type="character" w:styleId="Hyperlink">
    <w:name w:val="Hyperlink"/>
    <w:basedOn w:val="DefaultParagraphFont"/>
    <w:uiPriority w:val="99"/>
    <w:unhideWhenUsed/>
    <w:rsid w:val="001A1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a.gov/downloads/drugs/guidancecomplianceregulatoryinformation/guidances/ucm07975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downloads/RegulatoryInformation/Guidances/UCM126572.pdf" TargetMode="External"/><Relationship Id="rId5" Type="http://schemas.openxmlformats.org/officeDocument/2006/relationships/hyperlink" Target="http://www.hhs.gov/ohrp/policy/advevntguid.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5</cp:revision>
  <dcterms:created xsi:type="dcterms:W3CDTF">2020-06-01T12:05:00Z</dcterms:created>
  <dcterms:modified xsi:type="dcterms:W3CDTF">2020-09-25T18:35:00Z</dcterms:modified>
</cp:coreProperties>
</file>