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B92C" w14:textId="697E2C9E" w:rsidR="00A35072" w:rsidRPr="00A35072" w:rsidRDefault="00A35072" w:rsidP="00A35072">
      <w:r w:rsidRPr="00A35072">
        <w:rPr>
          <w:b/>
        </w:rPr>
        <w:t>Biosafety Level 2</w:t>
      </w:r>
      <w:r w:rsidRPr="00A35072">
        <w:t xml:space="preserve"> </w:t>
      </w:r>
      <w:r w:rsidRPr="00A35072">
        <w:rPr>
          <w:b/>
        </w:rPr>
        <w:t>(BSL-2)</w:t>
      </w:r>
      <w:r w:rsidRPr="00A35072">
        <w:t xml:space="preserve"> builds upon BSL-1. BSL-2 is suitable for work involving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w:t>
      </w:r>
      <w:r w:rsidR="00EC1174">
        <w:t>Biosafety Cabinets (</w:t>
      </w:r>
      <w:r w:rsidRPr="00A35072">
        <w:t>BSCs</w:t>
      </w:r>
      <w:r w:rsidR="00EC1174">
        <w:t>)</w:t>
      </w:r>
      <w:r w:rsidRPr="00A35072">
        <w:t xml:space="preserve"> or other physical containment equipment. The following standard and special practices, safety equipment, and facility requirements apply to BSL-2. </w:t>
      </w:r>
    </w:p>
    <w:p w14:paraId="7C129BA8" w14:textId="77777777" w:rsidR="00A35072" w:rsidRPr="00A35072" w:rsidRDefault="00A35072" w:rsidP="00A35072"/>
    <w:p w14:paraId="70EA7197" w14:textId="4FB1EE2D" w:rsidR="00A35072" w:rsidRPr="00A35072" w:rsidRDefault="00A35072" w:rsidP="00A35072">
      <w:pPr>
        <w:pStyle w:val="ListParagraph"/>
        <w:widowControl w:val="0"/>
        <w:numPr>
          <w:ilvl w:val="0"/>
          <w:numId w:val="4"/>
        </w:numPr>
        <w:autoSpaceDE w:val="0"/>
        <w:autoSpaceDN w:val="0"/>
        <w:spacing w:after="0" w:line="240" w:lineRule="auto"/>
        <w:ind w:left="360"/>
        <w:rPr>
          <w:rFonts w:ascii="Arial" w:hAnsi="Arial" w:cs="Arial"/>
        </w:rPr>
      </w:pPr>
      <w:r w:rsidRPr="00A35072">
        <w:rPr>
          <w:rFonts w:ascii="Arial" w:hAnsi="Arial" w:cs="Arial"/>
        </w:rPr>
        <w:t>Standard Microbiological Practices :</w:t>
      </w:r>
    </w:p>
    <w:p w14:paraId="6D14ADE8" w14:textId="77777777" w:rsidR="00A35072" w:rsidRPr="00A35072" w:rsidRDefault="00A35072" w:rsidP="00A35072">
      <w:pPr>
        <w:pStyle w:val="ListParagraph"/>
        <w:rPr>
          <w:rFonts w:ascii="Arial" w:hAnsi="Arial" w:cs="Arial"/>
        </w:rPr>
      </w:pPr>
    </w:p>
    <w:p w14:paraId="4D608774"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The laboratory supervisor must enforce the institutional policies that control access to the laboratory.</w:t>
      </w:r>
    </w:p>
    <w:p w14:paraId="0B3955D2" w14:textId="77777777" w:rsidR="00A35072" w:rsidRPr="00A35072" w:rsidRDefault="00A35072" w:rsidP="00A35072">
      <w:pPr>
        <w:pStyle w:val="ListParagraph"/>
        <w:rPr>
          <w:rFonts w:ascii="Arial" w:hAnsi="Arial" w:cs="Arial"/>
        </w:rPr>
      </w:pPr>
    </w:p>
    <w:p w14:paraId="319E0340"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 xml:space="preserve">Persons must wash their hands after working with potentially hazardous materials and before leaving the laboratory. </w:t>
      </w:r>
    </w:p>
    <w:p w14:paraId="15EF7D4D" w14:textId="77777777" w:rsidR="00A35072" w:rsidRPr="00A35072" w:rsidRDefault="00A35072" w:rsidP="00A35072"/>
    <w:p w14:paraId="1FA6BEA7"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5AECD1AD" w14:textId="77777777" w:rsidR="00A35072" w:rsidRPr="00A35072" w:rsidRDefault="00A35072" w:rsidP="00A35072">
      <w:r w:rsidRPr="00A35072">
        <w:t xml:space="preserve"> </w:t>
      </w:r>
    </w:p>
    <w:p w14:paraId="4A34BEDA"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 xml:space="preserve">Mouth pipetting is prohibited; mechanical pipetting devices must be used. </w:t>
      </w:r>
    </w:p>
    <w:p w14:paraId="648A8556" w14:textId="77777777" w:rsidR="00A35072" w:rsidRPr="00A35072" w:rsidRDefault="00A35072" w:rsidP="00A35072"/>
    <w:p w14:paraId="312A33C5"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p w14:paraId="3B10EC40" w14:textId="77777777" w:rsidR="00A35072" w:rsidRPr="00A35072" w:rsidRDefault="00A35072" w:rsidP="00A35072">
      <w:r w:rsidRPr="00A35072">
        <w:t xml:space="preserve"> </w:t>
      </w:r>
    </w:p>
    <w:p w14:paraId="13442B5E" w14:textId="44636A43" w:rsidR="00A35072" w:rsidRPr="00A35072" w:rsidRDefault="00A35072" w:rsidP="00A35072">
      <w:pPr>
        <w:pStyle w:val="ListParagraph"/>
        <w:numPr>
          <w:ilvl w:val="1"/>
          <w:numId w:val="9"/>
        </w:numPr>
        <w:ind w:left="990" w:hanging="270"/>
        <w:rPr>
          <w:rFonts w:ascii="Arial" w:hAnsi="Arial" w:cs="Arial"/>
        </w:rPr>
      </w:pPr>
      <w:r w:rsidRPr="00A35072">
        <w:rPr>
          <w:rFonts w:ascii="Arial" w:hAnsi="Arial" w:cs="Arial"/>
        </w:rPr>
        <w:t xml:space="preserve">Careful management of needles and other sharps are of primary importance. Needles must not be bent, sheared, broken, recapped, removed from disposable syringes, or otherwise manipulated by hand before disposal. </w:t>
      </w:r>
    </w:p>
    <w:p w14:paraId="39408001" w14:textId="1B9DB2C0" w:rsidR="00A35072" w:rsidRPr="00A35072" w:rsidRDefault="00A35072" w:rsidP="00A35072">
      <w:pPr>
        <w:pStyle w:val="ListParagraph"/>
        <w:numPr>
          <w:ilvl w:val="1"/>
          <w:numId w:val="9"/>
        </w:numPr>
        <w:ind w:left="990" w:hanging="270"/>
        <w:rPr>
          <w:rFonts w:ascii="Arial" w:hAnsi="Arial" w:cs="Arial"/>
        </w:rPr>
      </w:pPr>
      <w:r w:rsidRPr="00A35072">
        <w:rPr>
          <w:rFonts w:ascii="Arial" w:hAnsi="Arial" w:cs="Arial"/>
        </w:rPr>
        <w:t xml:space="preserve">Used disposable needles and syringes must be carefully placed in conveniently located puncture-resistant containers used for sharps disposal. </w:t>
      </w:r>
    </w:p>
    <w:p w14:paraId="7A7B6B72" w14:textId="17AA24B5" w:rsidR="00A35072" w:rsidRPr="00A35072" w:rsidRDefault="00A35072" w:rsidP="00A35072">
      <w:pPr>
        <w:pStyle w:val="ListParagraph"/>
        <w:numPr>
          <w:ilvl w:val="1"/>
          <w:numId w:val="9"/>
        </w:numPr>
        <w:ind w:left="990" w:hanging="270"/>
        <w:rPr>
          <w:rFonts w:ascii="Arial" w:hAnsi="Arial" w:cs="Arial"/>
        </w:rPr>
      </w:pPr>
      <w:r w:rsidRPr="00A35072">
        <w:rPr>
          <w:rFonts w:ascii="Arial" w:hAnsi="Arial" w:cs="Arial"/>
        </w:rPr>
        <w:t xml:space="preserve">Non-disposable sharps must be placed in a hard walled container for transport to a processing area for decontamination, preferably by autoclaving. </w:t>
      </w:r>
    </w:p>
    <w:p w14:paraId="40B24766" w14:textId="4FDBFCEB" w:rsidR="00EC1174" w:rsidRDefault="00A35072" w:rsidP="00A35072">
      <w:pPr>
        <w:pStyle w:val="ListParagraph"/>
        <w:numPr>
          <w:ilvl w:val="1"/>
          <w:numId w:val="9"/>
        </w:numPr>
        <w:ind w:left="990" w:hanging="270"/>
        <w:rPr>
          <w:rFonts w:ascii="Arial" w:hAnsi="Arial" w:cs="Arial"/>
        </w:rPr>
      </w:pPr>
      <w:r w:rsidRPr="00A35072">
        <w:rPr>
          <w:rFonts w:ascii="Arial" w:hAnsi="Arial" w:cs="Arial"/>
        </w:rPr>
        <w:t>Broken glassware must not be handled directly. Instead, it must be removed using a brush and dust</w:t>
      </w:r>
      <w:r w:rsidR="00EC1174">
        <w:rPr>
          <w:rFonts w:ascii="Arial" w:hAnsi="Arial" w:cs="Arial"/>
        </w:rPr>
        <w:t>pan, tongs, or forceps. Plastic</w:t>
      </w:r>
      <w:r w:rsidRPr="00A35072">
        <w:rPr>
          <w:rFonts w:ascii="Arial" w:hAnsi="Arial" w:cs="Arial"/>
        </w:rPr>
        <w:t xml:space="preserve">ware should be substituted for glassware whenever possible. </w:t>
      </w:r>
    </w:p>
    <w:p w14:paraId="458298CA" w14:textId="77777777" w:rsidR="00EC1174" w:rsidRDefault="00EC1174" w:rsidP="00EC1174">
      <w:pPr>
        <w:pStyle w:val="ListParagraph"/>
        <w:ind w:left="990"/>
        <w:rPr>
          <w:rFonts w:ascii="Arial" w:hAnsi="Arial" w:cs="Arial"/>
        </w:rPr>
      </w:pPr>
    </w:p>
    <w:p w14:paraId="070E0611" w14:textId="6CEE85CB" w:rsidR="00A35072" w:rsidRPr="00EC1174" w:rsidRDefault="00A35072" w:rsidP="00EC1174">
      <w:pPr>
        <w:pStyle w:val="ListParagraph"/>
        <w:numPr>
          <w:ilvl w:val="0"/>
          <w:numId w:val="5"/>
        </w:numPr>
      </w:pPr>
      <w:r w:rsidRPr="00EC1174">
        <w:t xml:space="preserve">Perform all procedures to minimize the creation of splashes and/or aerosols. </w:t>
      </w:r>
    </w:p>
    <w:p w14:paraId="191AACEF" w14:textId="77777777" w:rsidR="00A35072" w:rsidRPr="00A35072" w:rsidRDefault="00A35072" w:rsidP="00A35072">
      <w:pPr>
        <w:pStyle w:val="ListParagraph"/>
        <w:ind w:left="990"/>
        <w:rPr>
          <w:rFonts w:ascii="Arial" w:hAnsi="Arial" w:cs="Arial"/>
        </w:rPr>
      </w:pPr>
    </w:p>
    <w:p w14:paraId="400B7465"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 xml:space="preserve">Decontaminate work surfaces after completion of work and after any spill or splash of potentially infectious material with appropriate disinfectant. </w:t>
      </w:r>
    </w:p>
    <w:p w14:paraId="127D25B4" w14:textId="77777777" w:rsidR="00A35072" w:rsidRPr="00A35072" w:rsidRDefault="00A35072" w:rsidP="00A35072">
      <w:pPr>
        <w:ind w:left="360"/>
      </w:pPr>
    </w:p>
    <w:p w14:paraId="661C2A27"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 xml:space="preserve">Decontaminate all cultures, stocks, and other potentially infectious materials before disposal using an effective method. Depending on where the decontamination will be </w:t>
      </w:r>
      <w:r w:rsidRPr="00A35072">
        <w:rPr>
          <w:rFonts w:ascii="Arial" w:hAnsi="Arial" w:cs="Arial"/>
        </w:rPr>
        <w:lastRenderedPageBreak/>
        <w:t xml:space="preserve">performed, the following methods should be used prior to transport: </w:t>
      </w:r>
    </w:p>
    <w:p w14:paraId="618A0A1C" w14:textId="77777777" w:rsidR="00A35072" w:rsidRPr="00A35072" w:rsidRDefault="00A35072" w:rsidP="00A35072"/>
    <w:p w14:paraId="07B2BC40" w14:textId="10A599D0" w:rsidR="00A35072" w:rsidRPr="00A35072" w:rsidRDefault="00A35072" w:rsidP="00A35072">
      <w:pPr>
        <w:pStyle w:val="ListParagraph"/>
        <w:numPr>
          <w:ilvl w:val="1"/>
          <w:numId w:val="10"/>
        </w:numPr>
        <w:ind w:left="990" w:hanging="270"/>
        <w:rPr>
          <w:rFonts w:ascii="Arial" w:hAnsi="Arial" w:cs="Arial"/>
        </w:rPr>
      </w:pPr>
      <w:r w:rsidRPr="00A35072">
        <w:rPr>
          <w:rFonts w:ascii="Arial" w:hAnsi="Arial" w:cs="Arial"/>
        </w:rPr>
        <w:t xml:space="preserve">Materials to be decontaminated outside of the immediate laboratory must be placed in a durable, leak proof container and secured for transport. </w:t>
      </w:r>
    </w:p>
    <w:p w14:paraId="6EECA230" w14:textId="5A5999A7" w:rsidR="00A35072" w:rsidRPr="00A35072" w:rsidRDefault="00A35072" w:rsidP="00A35072">
      <w:pPr>
        <w:pStyle w:val="ListParagraph"/>
        <w:numPr>
          <w:ilvl w:val="1"/>
          <w:numId w:val="10"/>
        </w:numPr>
        <w:ind w:left="990" w:hanging="270"/>
      </w:pPr>
      <w:r w:rsidRPr="00A35072">
        <w:rPr>
          <w:rFonts w:ascii="Arial" w:hAnsi="Arial" w:cs="Arial"/>
        </w:rPr>
        <w:t xml:space="preserve">Materials to be removed from the facility for decontamination must be packed in accordance with applicable local, state, and federal regulations. </w:t>
      </w:r>
    </w:p>
    <w:p w14:paraId="0716FB76" w14:textId="77777777" w:rsidR="00A35072" w:rsidRPr="00A35072" w:rsidRDefault="00A35072" w:rsidP="00A35072"/>
    <w:p w14:paraId="17B98043" w14:textId="77777777"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 xml:space="preserve">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 </w:t>
      </w:r>
    </w:p>
    <w:p w14:paraId="427A4C21" w14:textId="77777777" w:rsidR="00A35072" w:rsidRPr="00A35072" w:rsidRDefault="00A35072" w:rsidP="00A35072"/>
    <w:p w14:paraId="68C753E5" w14:textId="769A5A2D" w:rsidR="00A35072" w:rsidRPr="00A35072" w:rsidRDefault="00A35072" w:rsidP="00A35072">
      <w:pPr>
        <w:pStyle w:val="ListParagraph"/>
        <w:widowControl w:val="0"/>
        <w:numPr>
          <w:ilvl w:val="0"/>
          <w:numId w:val="5"/>
        </w:numPr>
        <w:autoSpaceDE w:val="0"/>
        <w:autoSpaceDN w:val="0"/>
        <w:spacing w:after="0" w:line="240" w:lineRule="auto"/>
        <w:rPr>
          <w:rFonts w:ascii="Arial" w:hAnsi="Arial" w:cs="Arial"/>
        </w:rPr>
      </w:pPr>
      <w:r w:rsidRPr="00A35072">
        <w:rPr>
          <w:rFonts w:ascii="Arial" w:hAnsi="Arial" w:cs="Arial"/>
        </w:rPr>
        <w:t>An effective integrated pest</w:t>
      </w:r>
      <w:r w:rsidR="00D26755">
        <w:rPr>
          <w:rFonts w:ascii="Arial" w:hAnsi="Arial" w:cs="Arial"/>
        </w:rPr>
        <w:t xml:space="preserve"> management program is required</w:t>
      </w:r>
      <w:r w:rsidRPr="00A35072">
        <w:rPr>
          <w:rFonts w:ascii="Arial" w:hAnsi="Arial" w:cs="Arial"/>
        </w:rPr>
        <w:t xml:space="preserve"> </w:t>
      </w:r>
      <w:r w:rsidR="00D26755" w:rsidRPr="00291C6A">
        <w:rPr>
          <w:rFonts w:ascii="Times New Roman" w:hAnsi="Times New Roman" w:cs="Times New Roman"/>
          <w:sz w:val="24"/>
          <w:szCs w:val="24"/>
        </w:rPr>
        <w:t>(</w:t>
      </w:r>
      <w:hyperlink r:id="rId8" w:history="1">
        <w:r w:rsidR="00D26755" w:rsidRPr="00291C6A">
          <w:rPr>
            <w:rStyle w:val="Hyperlink"/>
            <w:rFonts w:ascii="Times New Roman" w:hAnsi="Times New Roman" w:cs="Times New Roman"/>
            <w:sz w:val="24"/>
            <w:szCs w:val="24"/>
          </w:rPr>
          <w:t>see Appendix G</w:t>
        </w:r>
      </w:hyperlink>
      <w:r w:rsidR="00D26755" w:rsidRPr="00291C6A">
        <w:rPr>
          <w:rFonts w:ascii="Times New Roman" w:hAnsi="Times New Roman" w:cs="Times New Roman"/>
          <w:sz w:val="24"/>
          <w:szCs w:val="24"/>
        </w:rPr>
        <w:t xml:space="preserve"> – see page 380).</w:t>
      </w:r>
    </w:p>
    <w:p w14:paraId="41EA6417" w14:textId="77777777" w:rsidR="00A35072" w:rsidRPr="00A35072" w:rsidRDefault="00A35072" w:rsidP="00A35072"/>
    <w:p w14:paraId="580E8F69" w14:textId="77777777" w:rsidR="00A35072" w:rsidRPr="00A35072" w:rsidRDefault="00A35072" w:rsidP="00A35072">
      <w:pPr>
        <w:pStyle w:val="ListParagraph"/>
        <w:widowControl w:val="0"/>
        <w:numPr>
          <w:ilvl w:val="0"/>
          <w:numId w:val="5"/>
        </w:numPr>
        <w:autoSpaceDE w:val="0"/>
        <w:autoSpaceDN w:val="0"/>
        <w:spacing w:after="0" w:line="240" w:lineRule="auto"/>
        <w:ind w:hanging="450"/>
        <w:rPr>
          <w:rFonts w:ascii="Arial" w:hAnsi="Arial" w:cs="Arial"/>
        </w:rPr>
      </w:pPr>
      <w:r w:rsidRPr="00A35072">
        <w:rPr>
          <w:rFonts w:ascii="Arial" w:hAnsi="Arial" w:cs="Arial"/>
        </w:rPr>
        <w:t xml:space="preserve">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 </w:t>
      </w:r>
    </w:p>
    <w:p w14:paraId="41A08CCE" w14:textId="77777777" w:rsidR="00A35072" w:rsidRPr="00A35072" w:rsidRDefault="00A35072" w:rsidP="00A35072"/>
    <w:p w14:paraId="4746969F" w14:textId="5747BA39" w:rsidR="00A35072" w:rsidRPr="00A35072" w:rsidRDefault="00A35072" w:rsidP="00A35072">
      <w:pPr>
        <w:pStyle w:val="ListParagraph"/>
        <w:widowControl w:val="0"/>
        <w:numPr>
          <w:ilvl w:val="0"/>
          <w:numId w:val="4"/>
        </w:numPr>
        <w:autoSpaceDE w:val="0"/>
        <w:autoSpaceDN w:val="0"/>
        <w:spacing w:after="0" w:line="240" w:lineRule="auto"/>
        <w:ind w:left="360"/>
        <w:rPr>
          <w:rFonts w:ascii="Arial" w:hAnsi="Arial" w:cs="Arial"/>
          <w:b/>
        </w:rPr>
      </w:pPr>
      <w:r w:rsidRPr="00A35072">
        <w:rPr>
          <w:rFonts w:ascii="Arial" w:hAnsi="Arial" w:cs="Arial"/>
          <w:b/>
        </w:rPr>
        <w:t xml:space="preserve">Special Practices: </w:t>
      </w:r>
    </w:p>
    <w:p w14:paraId="7A0D3F27" w14:textId="77777777" w:rsidR="00A35072" w:rsidRPr="00A35072" w:rsidRDefault="00A35072" w:rsidP="00A35072"/>
    <w:p w14:paraId="693CC2DC"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All persons entering the laboratory must be advised of the potential hazards and meet specific entry/exit requirements. </w:t>
      </w:r>
    </w:p>
    <w:p w14:paraId="5B0C7053" w14:textId="77777777" w:rsidR="00A35072" w:rsidRPr="00A35072" w:rsidRDefault="00A35072" w:rsidP="00A35072">
      <w:pPr>
        <w:ind w:left="360"/>
      </w:pPr>
    </w:p>
    <w:p w14:paraId="073E0A68"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Laboratory personnel must be provided medical surveillance, as appropriate, and offered available immunizations for agents handled or potentially present in the laboratory.</w:t>
      </w:r>
    </w:p>
    <w:p w14:paraId="7221DA9F" w14:textId="77777777" w:rsidR="00A35072" w:rsidRPr="00A35072" w:rsidRDefault="00A35072" w:rsidP="00A35072"/>
    <w:p w14:paraId="17CCF15D"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Each institution should consider the need for collection and storage of serum samples from at-risk personnel. </w:t>
      </w:r>
    </w:p>
    <w:p w14:paraId="2C5429F8" w14:textId="77777777" w:rsidR="00A35072" w:rsidRPr="00A35072" w:rsidRDefault="00A35072" w:rsidP="00A35072"/>
    <w:p w14:paraId="33DAD6E0"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A laboratory-specific biosafety manual must be prepared and adopted as policy. The biosafety manual must be available and accessible. </w:t>
      </w:r>
    </w:p>
    <w:p w14:paraId="6D7229A9" w14:textId="77777777" w:rsidR="00A35072" w:rsidRPr="00A35072" w:rsidRDefault="00A35072" w:rsidP="00A35072"/>
    <w:p w14:paraId="4FB533E0"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The laboratory supervisor must ensure that laboratory personnel demonstrate proficiency in standard and special microbiological practices before working with BSL-2 agents. </w:t>
      </w:r>
    </w:p>
    <w:p w14:paraId="7593FF66" w14:textId="77777777" w:rsidR="00A35072" w:rsidRPr="00A35072" w:rsidRDefault="00A35072" w:rsidP="00A35072"/>
    <w:p w14:paraId="49B9E2E4"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Potentially infectious materials must be placed in a durable, leak proof container during collection, handling, processing, storage, or transport within a facility. </w:t>
      </w:r>
    </w:p>
    <w:p w14:paraId="7B4221F6" w14:textId="77777777" w:rsidR="00A35072" w:rsidRPr="00A35072" w:rsidRDefault="00A35072" w:rsidP="00A35072"/>
    <w:p w14:paraId="331DD21B" w14:textId="77777777" w:rsidR="00A35072" w:rsidRPr="00A35072" w:rsidRDefault="00A35072" w:rsidP="00A35072">
      <w:pPr>
        <w:pStyle w:val="ListParagraph"/>
        <w:widowControl w:val="0"/>
        <w:numPr>
          <w:ilvl w:val="0"/>
          <w:numId w:val="6"/>
        </w:numPr>
        <w:autoSpaceDE w:val="0"/>
        <w:autoSpaceDN w:val="0"/>
        <w:spacing w:after="0" w:line="240" w:lineRule="auto"/>
        <w:rPr>
          <w:rFonts w:ascii="Arial" w:hAnsi="Arial" w:cs="Arial"/>
        </w:rPr>
      </w:pPr>
      <w:r w:rsidRPr="00A35072">
        <w:rPr>
          <w:rFonts w:ascii="Arial" w:hAnsi="Arial" w:cs="Arial"/>
        </w:rPr>
        <w:t xml:space="preserve">Laboratory equipment should be routinely decontaminated, as well as, after spills, splashes, or other potential contamination. </w:t>
      </w:r>
    </w:p>
    <w:p w14:paraId="1A12137A" w14:textId="77777777" w:rsidR="00A35072" w:rsidRPr="00A35072" w:rsidRDefault="00A35072" w:rsidP="00A35072"/>
    <w:p w14:paraId="4281F59A" w14:textId="1606045E" w:rsidR="00A35072" w:rsidRPr="00A35072" w:rsidRDefault="00A35072" w:rsidP="00A35072">
      <w:pPr>
        <w:pStyle w:val="ListParagraph"/>
        <w:numPr>
          <w:ilvl w:val="1"/>
          <w:numId w:val="11"/>
        </w:numPr>
        <w:ind w:left="990" w:hanging="270"/>
        <w:rPr>
          <w:rFonts w:ascii="Arial" w:hAnsi="Arial" w:cs="Arial"/>
        </w:rPr>
      </w:pPr>
      <w:r w:rsidRPr="00A35072">
        <w:rPr>
          <w:rFonts w:ascii="Arial" w:hAnsi="Arial" w:cs="Arial"/>
        </w:rPr>
        <w:t xml:space="preserve">Spills involving infectious materials must be contained, decontaminated, and cleaned up by staff properly trained and equipped to work with infectious material. </w:t>
      </w:r>
    </w:p>
    <w:p w14:paraId="0EB7FD53" w14:textId="77CFCF0D" w:rsidR="00A35072" w:rsidRPr="00A35072" w:rsidRDefault="00A35072" w:rsidP="00A35072">
      <w:pPr>
        <w:pStyle w:val="ListParagraph"/>
        <w:numPr>
          <w:ilvl w:val="1"/>
          <w:numId w:val="11"/>
        </w:numPr>
        <w:ind w:left="990" w:hanging="270"/>
      </w:pPr>
      <w:r w:rsidRPr="00A35072">
        <w:rPr>
          <w:rFonts w:ascii="Arial" w:hAnsi="Arial" w:cs="Arial"/>
        </w:rPr>
        <w:t xml:space="preserve">Equipment must be decontaminated before repair, maintenance, or removal from the laboratory. </w:t>
      </w:r>
    </w:p>
    <w:p w14:paraId="3A8BB887" w14:textId="1D32DFD9" w:rsidR="00A35072" w:rsidRDefault="00A35072" w:rsidP="00A35072">
      <w:pPr>
        <w:pStyle w:val="ListParagraph"/>
        <w:numPr>
          <w:ilvl w:val="0"/>
          <w:numId w:val="6"/>
        </w:numPr>
      </w:pPr>
      <w:r w:rsidRPr="00A35072">
        <w:t xml:space="preserve">Incidents that may result in exposure to infectious materials must be immediately evaluated and treated according to procedures described in the laboratory biosafety manual. All such incidents must be reported to the laboratory supervisor. Medical evaluation, surveillance, and treatment should be provided and appropriate records maintained. </w:t>
      </w:r>
    </w:p>
    <w:p w14:paraId="1B595AE9" w14:textId="77777777" w:rsidR="00A35072" w:rsidRDefault="00A35072" w:rsidP="00A35072">
      <w:pPr>
        <w:pStyle w:val="ListParagraph"/>
        <w:numPr>
          <w:ilvl w:val="0"/>
          <w:numId w:val="6"/>
        </w:numPr>
      </w:pPr>
      <w:r w:rsidRPr="00A35072">
        <w:t xml:space="preserve">Animal and plants not associated with the work being performed must not be permitted in the laboratory. </w:t>
      </w:r>
    </w:p>
    <w:p w14:paraId="441C54F0" w14:textId="5B31AA26" w:rsidR="00A35072" w:rsidRPr="00A35072" w:rsidRDefault="00A35072" w:rsidP="00A35072">
      <w:pPr>
        <w:pStyle w:val="ListParagraph"/>
        <w:numPr>
          <w:ilvl w:val="0"/>
          <w:numId w:val="6"/>
        </w:numPr>
      </w:pPr>
      <w:r w:rsidRPr="00A35072">
        <w:t xml:space="preserve">All procedures involving the manipulation of infectious materials that may generate an aerosol should be conducted within a BSC or other physical containment devices. </w:t>
      </w:r>
    </w:p>
    <w:p w14:paraId="0DF347D8" w14:textId="77777777" w:rsidR="00A35072" w:rsidRPr="00A35072" w:rsidRDefault="00A35072" w:rsidP="00A35072"/>
    <w:p w14:paraId="4917D5FA" w14:textId="7DE84532" w:rsidR="00A35072" w:rsidRPr="00A35072" w:rsidRDefault="00A35072" w:rsidP="00A35072">
      <w:pPr>
        <w:pStyle w:val="ListParagraph"/>
        <w:widowControl w:val="0"/>
        <w:numPr>
          <w:ilvl w:val="0"/>
          <w:numId w:val="4"/>
        </w:numPr>
        <w:autoSpaceDE w:val="0"/>
        <w:autoSpaceDN w:val="0"/>
        <w:spacing w:after="0" w:line="240" w:lineRule="auto"/>
        <w:ind w:left="360"/>
        <w:rPr>
          <w:rFonts w:ascii="Arial" w:hAnsi="Arial" w:cs="Arial"/>
          <w:b/>
        </w:rPr>
      </w:pPr>
      <w:r w:rsidRPr="00A35072">
        <w:rPr>
          <w:rFonts w:ascii="Arial" w:hAnsi="Arial" w:cs="Arial"/>
          <w:b/>
        </w:rPr>
        <w:t xml:space="preserve">Safety Equipment (Primary Barriers and Personal Protective Equipment-PPE): </w:t>
      </w:r>
    </w:p>
    <w:p w14:paraId="3278AD9D" w14:textId="77777777" w:rsidR="00A35072" w:rsidRPr="00A35072" w:rsidRDefault="00A35072" w:rsidP="00A35072">
      <w:pPr>
        <w:ind w:left="360"/>
      </w:pPr>
    </w:p>
    <w:p w14:paraId="5AA9390C" w14:textId="77777777" w:rsidR="00A35072" w:rsidRPr="00A35072" w:rsidRDefault="00A35072" w:rsidP="00A35072">
      <w:pPr>
        <w:pStyle w:val="ListParagraph"/>
        <w:widowControl w:val="0"/>
        <w:numPr>
          <w:ilvl w:val="0"/>
          <w:numId w:val="7"/>
        </w:numPr>
        <w:autoSpaceDE w:val="0"/>
        <w:autoSpaceDN w:val="0"/>
        <w:spacing w:after="0" w:line="240" w:lineRule="auto"/>
        <w:rPr>
          <w:rFonts w:ascii="Arial" w:hAnsi="Arial" w:cs="Arial"/>
        </w:rPr>
      </w:pPr>
      <w:r w:rsidRPr="00A35072">
        <w:rPr>
          <w:rFonts w:ascii="Arial" w:hAnsi="Arial" w:cs="Arial"/>
        </w:rPr>
        <w:t xml:space="preserve">Properly maintained BSCs, other appropriate personal protective equipment, or other physical containment devices must be used whenever: </w:t>
      </w:r>
    </w:p>
    <w:p w14:paraId="28FE7979" w14:textId="77777777" w:rsidR="00A35072" w:rsidRPr="00A35072" w:rsidRDefault="00A35072" w:rsidP="00A35072">
      <w:pPr>
        <w:ind w:left="360"/>
      </w:pPr>
    </w:p>
    <w:p w14:paraId="4586D0F4" w14:textId="5EC60E39" w:rsidR="00A35072" w:rsidRPr="00A35072" w:rsidRDefault="00A35072" w:rsidP="00A35072">
      <w:pPr>
        <w:pStyle w:val="ListParagraph"/>
        <w:numPr>
          <w:ilvl w:val="1"/>
          <w:numId w:val="13"/>
        </w:numPr>
        <w:ind w:left="990" w:hanging="270"/>
        <w:rPr>
          <w:rFonts w:ascii="Arial" w:hAnsi="Arial" w:cs="Arial"/>
        </w:rPr>
      </w:pPr>
      <w:r w:rsidRPr="00A35072">
        <w:rPr>
          <w:rFonts w:ascii="Arial" w:hAnsi="Arial" w:cs="Arial"/>
        </w:rPr>
        <w:t xml:space="preserve">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 </w:t>
      </w:r>
    </w:p>
    <w:p w14:paraId="600AEABE" w14:textId="3AA88FD6" w:rsidR="00A35072" w:rsidRPr="00A35072" w:rsidRDefault="00A35072" w:rsidP="00A35072">
      <w:pPr>
        <w:pStyle w:val="ListParagraph"/>
        <w:numPr>
          <w:ilvl w:val="1"/>
          <w:numId w:val="13"/>
        </w:numPr>
        <w:ind w:left="990" w:hanging="270"/>
        <w:rPr>
          <w:rFonts w:ascii="Arial" w:hAnsi="Arial" w:cs="Arial"/>
        </w:rPr>
      </w:pPr>
      <w:r w:rsidRPr="00A35072">
        <w:rPr>
          <w:rFonts w:ascii="Arial" w:hAnsi="Arial" w:cs="Arial"/>
        </w:rPr>
        <w:t xml:space="preserve">High concentrations or large volumes of infectious agents are used. Such materials may be centrifuged in the open laboratory using sealed rotor heads or centrifuge safety cups. </w:t>
      </w:r>
    </w:p>
    <w:p w14:paraId="1DDC6D84" w14:textId="77777777" w:rsidR="00A35072" w:rsidRPr="00A35072" w:rsidRDefault="00A35072" w:rsidP="00A35072">
      <w:pPr>
        <w:ind w:left="1080" w:hanging="360"/>
      </w:pPr>
    </w:p>
    <w:p w14:paraId="2C622969" w14:textId="52F12DEC" w:rsidR="00A35072" w:rsidRPr="00A35072" w:rsidRDefault="00A35072" w:rsidP="00A35072">
      <w:pPr>
        <w:pStyle w:val="ListParagraph"/>
        <w:widowControl w:val="0"/>
        <w:numPr>
          <w:ilvl w:val="0"/>
          <w:numId w:val="7"/>
        </w:numPr>
        <w:autoSpaceDE w:val="0"/>
        <w:autoSpaceDN w:val="0"/>
        <w:spacing w:after="0" w:line="240" w:lineRule="auto"/>
        <w:rPr>
          <w:rFonts w:ascii="Arial" w:hAnsi="Arial" w:cs="Arial"/>
        </w:rPr>
      </w:pPr>
      <w:r w:rsidRPr="00A35072">
        <w:rPr>
          <w:rFonts w:ascii="Arial" w:hAnsi="Arial" w:cs="Arial"/>
        </w:rPr>
        <w:t>P</w:t>
      </w:r>
      <w:r>
        <w:rPr>
          <w:rFonts w:ascii="Arial" w:hAnsi="Arial" w:cs="Arial"/>
        </w:rPr>
        <w:t>PE such p</w:t>
      </w:r>
      <w:r w:rsidRPr="00A35072">
        <w:rPr>
          <w:rFonts w:ascii="Arial" w:hAnsi="Arial" w:cs="Arial"/>
        </w:rPr>
        <w:t xml:space="preserve">rotective laboratory coats, gowns, smocks, or uniforms designated for laboratory use must be worn while working with hazardous materials. Remove protective clothing before leaving for non-laboratory areas, </w:t>
      </w:r>
      <w:r w:rsidR="00EC1174">
        <w:rPr>
          <w:rFonts w:ascii="Arial" w:hAnsi="Arial" w:cs="Arial"/>
        </w:rPr>
        <w:t>(</w:t>
      </w:r>
      <w:r w:rsidRPr="00A35072">
        <w:rPr>
          <w:rFonts w:ascii="Arial" w:hAnsi="Arial" w:cs="Arial"/>
        </w:rPr>
        <w:t xml:space="preserve">e.g., cafeteria, library, and administrative offices). Dispose of protective clothing appropriately, or deposit it for laundering by the institution. It is recommended that laboratory clothing not be taken home. </w:t>
      </w:r>
    </w:p>
    <w:p w14:paraId="4CDB6D6C" w14:textId="77777777" w:rsidR="00A35072" w:rsidRPr="00A35072" w:rsidRDefault="00A35072" w:rsidP="00A35072">
      <w:pPr>
        <w:ind w:left="360"/>
      </w:pPr>
    </w:p>
    <w:p w14:paraId="19019EA1" w14:textId="1214D38E" w:rsidR="00A35072" w:rsidRPr="00A35072" w:rsidRDefault="00A35072" w:rsidP="00A35072">
      <w:pPr>
        <w:pStyle w:val="ListParagraph"/>
        <w:widowControl w:val="0"/>
        <w:numPr>
          <w:ilvl w:val="0"/>
          <w:numId w:val="7"/>
        </w:numPr>
        <w:autoSpaceDE w:val="0"/>
        <w:autoSpaceDN w:val="0"/>
        <w:spacing w:after="0" w:line="240" w:lineRule="auto"/>
        <w:rPr>
          <w:rFonts w:ascii="Arial" w:hAnsi="Arial" w:cs="Arial"/>
        </w:rPr>
      </w:pPr>
      <w:r w:rsidRPr="00A35072">
        <w:rPr>
          <w:rFonts w:ascii="Arial" w:hAnsi="Arial" w:cs="Arial"/>
        </w:rPr>
        <w:t>Eye and face protection (goggles, mask, face shield</w:t>
      </w:r>
      <w:r w:rsidR="00EC1174">
        <w:rPr>
          <w:rFonts w:ascii="Arial" w:hAnsi="Arial" w:cs="Arial"/>
        </w:rPr>
        <w:t>,</w:t>
      </w:r>
      <w:r w:rsidRPr="00A35072">
        <w:rPr>
          <w:rFonts w:ascii="Arial" w:hAnsi="Arial" w:cs="Arial"/>
        </w:rPr>
        <w:t xml:space="preserve">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6E2F4A85" w14:textId="77777777" w:rsidR="00A35072" w:rsidRPr="00A35072" w:rsidRDefault="00A35072" w:rsidP="00A35072"/>
    <w:p w14:paraId="274ACDD3" w14:textId="77777777" w:rsidR="00A35072" w:rsidRPr="00A35072" w:rsidRDefault="00A35072" w:rsidP="00A35072">
      <w:pPr>
        <w:pStyle w:val="ListParagraph"/>
        <w:widowControl w:val="0"/>
        <w:numPr>
          <w:ilvl w:val="0"/>
          <w:numId w:val="7"/>
        </w:numPr>
        <w:autoSpaceDE w:val="0"/>
        <w:autoSpaceDN w:val="0"/>
        <w:spacing w:after="0" w:line="240" w:lineRule="auto"/>
        <w:rPr>
          <w:rFonts w:ascii="Arial" w:hAnsi="Arial" w:cs="Arial"/>
        </w:rPr>
      </w:pPr>
      <w:r w:rsidRPr="00A35072">
        <w:rPr>
          <w:rFonts w:ascii="Arial" w:hAnsi="Arial" w:cs="Arial"/>
        </w:rPr>
        <w:t>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7BC6D4B7" w14:textId="77777777" w:rsidR="00A35072" w:rsidRPr="00A35072" w:rsidRDefault="00A35072" w:rsidP="00A35072"/>
    <w:p w14:paraId="15DB721C" w14:textId="6BF06A8A" w:rsidR="00A35072" w:rsidRPr="00A35072" w:rsidRDefault="00A35072" w:rsidP="00A35072">
      <w:pPr>
        <w:pStyle w:val="ListParagraph"/>
        <w:numPr>
          <w:ilvl w:val="1"/>
          <w:numId w:val="12"/>
        </w:numPr>
        <w:ind w:left="990" w:hanging="270"/>
        <w:rPr>
          <w:rFonts w:ascii="Arial" w:hAnsi="Arial" w:cs="Arial"/>
        </w:rPr>
      </w:pPr>
      <w:r w:rsidRPr="00A35072">
        <w:rPr>
          <w:rFonts w:ascii="Arial" w:hAnsi="Arial" w:cs="Arial"/>
        </w:rPr>
        <w:lastRenderedPageBreak/>
        <w:t xml:space="preserve">Change gloves when contaminated, glove integrity is compromised, or when otherwise necessary. </w:t>
      </w:r>
    </w:p>
    <w:p w14:paraId="1EB558F1" w14:textId="3D38B7C3" w:rsidR="00A35072" w:rsidRPr="00A35072" w:rsidRDefault="00A35072" w:rsidP="00A35072">
      <w:pPr>
        <w:pStyle w:val="ListParagraph"/>
        <w:numPr>
          <w:ilvl w:val="1"/>
          <w:numId w:val="12"/>
        </w:numPr>
        <w:ind w:left="990" w:hanging="270"/>
        <w:rPr>
          <w:rFonts w:ascii="Arial" w:hAnsi="Arial" w:cs="Arial"/>
        </w:rPr>
      </w:pPr>
      <w:r w:rsidRPr="00A35072">
        <w:rPr>
          <w:rFonts w:ascii="Arial" w:hAnsi="Arial" w:cs="Arial"/>
        </w:rPr>
        <w:t xml:space="preserve">Remove gloves and wash hands when work with hazardous materials has been completed and before leaving the laboratory. </w:t>
      </w:r>
    </w:p>
    <w:p w14:paraId="62F2EEA6" w14:textId="6EB94099" w:rsidR="00A35072" w:rsidRDefault="00A35072" w:rsidP="00A35072">
      <w:pPr>
        <w:pStyle w:val="ListParagraph"/>
        <w:numPr>
          <w:ilvl w:val="1"/>
          <w:numId w:val="12"/>
        </w:numPr>
        <w:ind w:left="990" w:hanging="270"/>
        <w:rPr>
          <w:rFonts w:ascii="Arial" w:hAnsi="Arial" w:cs="Arial"/>
        </w:rPr>
      </w:pPr>
      <w:r w:rsidRPr="00A35072">
        <w:rPr>
          <w:rFonts w:ascii="Arial" w:hAnsi="Arial" w:cs="Arial"/>
        </w:rPr>
        <w:t>Do not wash or reuse disposable gloves. Dispose of used gloves with other contaminated laboratory waste. Hand washing protocols must be rigorously followed.</w:t>
      </w:r>
    </w:p>
    <w:p w14:paraId="53F0168E" w14:textId="77777777" w:rsidR="00A35072" w:rsidRPr="00A35072" w:rsidRDefault="00A35072" w:rsidP="00A35072">
      <w:pPr>
        <w:pStyle w:val="ListParagraph"/>
        <w:ind w:left="990"/>
        <w:rPr>
          <w:rFonts w:ascii="Arial" w:hAnsi="Arial" w:cs="Arial"/>
        </w:rPr>
      </w:pPr>
    </w:p>
    <w:p w14:paraId="1CBA52FD" w14:textId="77777777" w:rsidR="00A35072" w:rsidRPr="00A35072" w:rsidRDefault="00A35072" w:rsidP="00A35072">
      <w:pPr>
        <w:pStyle w:val="ListParagraph"/>
        <w:widowControl w:val="0"/>
        <w:numPr>
          <w:ilvl w:val="0"/>
          <w:numId w:val="7"/>
        </w:numPr>
        <w:autoSpaceDE w:val="0"/>
        <w:autoSpaceDN w:val="0"/>
        <w:spacing w:after="0" w:line="240" w:lineRule="auto"/>
        <w:rPr>
          <w:rFonts w:ascii="Arial" w:hAnsi="Arial" w:cs="Arial"/>
        </w:rPr>
      </w:pPr>
      <w:r w:rsidRPr="00A35072">
        <w:rPr>
          <w:rFonts w:ascii="Arial" w:hAnsi="Arial" w:cs="Arial"/>
        </w:rPr>
        <w:t>Eye, face and respiratory protection should be used in rooms containing infected animals as determined by the risk assessment.</w:t>
      </w:r>
    </w:p>
    <w:p w14:paraId="330E70FA" w14:textId="77777777" w:rsidR="00A35072" w:rsidRPr="00A35072" w:rsidRDefault="00A35072" w:rsidP="00A35072">
      <w:pPr>
        <w:ind w:left="360"/>
      </w:pPr>
    </w:p>
    <w:p w14:paraId="4C110215" w14:textId="1BEB8A75" w:rsidR="00A35072" w:rsidRPr="00A35072" w:rsidRDefault="00A35072" w:rsidP="00A35072">
      <w:pPr>
        <w:pStyle w:val="ListParagraph"/>
        <w:widowControl w:val="0"/>
        <w:numPr>
          <w:ilvl w:val="0"/>
          <w:numId w:val="4"/>
        </w:numPr>
        <w:autoSpaceDE w:val="0"/>
        <w:autoSpaceDN w:val="0"/>
        <w:spacing w:after="0" w:line="240" w:lineRule="auto"/>
        <w:ind w:left="360"/>
        <w:rPr>
          <w:rFonts w:ascii="Arial" w:hAnsi="Arial" w:cs="Arial"/>
          <w:b/>
        </w:rPr>
      </w:pPr>
      <w:r w:rsidRPr="00A35072">
        <w:rPr>
          <w:rFonts w:ascii="Arial" w:hAnsi="Arial" w:cs="Arial"/>
          <w:b/>
        </w:rPr>
        <w:t>Laboratory Facilities (Secondary Barriers):</w:t>
      </w:r>
    </w:p>
    <w:p w14:paraId="4389C29C" w14:textId="77777777" w:rsidR="00A35072" w:rsidRPr="00A35072" w:rsidRDefault="00A35072" w:rsidP="00A35072">
      <w:pPr>
        <w:ind w:left="360"/>
      </w:pPr>
    </w:p>
    <w:p w14:paraId="16FBB27E"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Laboratory doors should be self-closing and have locks in accordance with the institutional policies. </w:t>
      </w:r>
    </w:p>
    <w:p w14:paraId="50FB3AC1" w14:textId="77777777" w:rsidR="00A35072" w:rsidRPr="00A35072" w:rsidRDefault="00A35072" w:rsidP="00A35072">
      <w:pPr>
        <w:ind w:left="360"/>
      </w:pPr>
    </w:p>
    <w:p w14:paraId="5109D3AE"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Laboratories must have a sink for hand washing. The sink may be manually, hands-free, or automatically operated. It should be located near the exit door. </w:t>
      </w:r>
    </w:p>
    <w:p w14:paraId="010AA4B0" w14:textId="77777777" w:rsidR="00A35072" w:rsidRPr="00A35072" w:rsidRDefault="00A35072" w:rsidP="00A35072"/>
    <w:p w14:paraId="105CABB0"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The laboratory should be designed so that it can be easily cleaned and decontaminated. Carpets and rugs in laboratories are not permitted.</w:t>
      </w:r>
    </w:p>
    <w:p w14:paraId="4E3337CF" w14:textId="77777777" w:rsidR="00A35072" w:rsidRPr="00A35072" w:rsidRDefault="00A35072" w:rsidP="00A35072"/>
    <w:p w14:paraId="1DF0E05F"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Laboratory furniture must be capable of supporting anticipated loads and uses. Spaces between benches, cabinets, and equipment should be accessible for cleaning. </w:t>
      </w:r>
    </w:p>
    <w:p w14:paraId="3CDC6857" w14:textId="77777777" w:rsidR="00A35072" w:rsidRPr="00A35072" w:rsidRDefault="00A35072" w:rsidP="00A35072"/>
    <w:p w14:paraId="6E9BA48C" w14:textId="77777777" w:rsidR="00A35072" w:rsidRPr="00A35072" w:rsidRDefault="00A35072" w:rsidP="00A35072">
      <w:pPr>
        <w:ind w:left="1080" w:hanging="360"/>
      </w:pPr>
      <w:r w:rsidRPr="00A35072">
        <w:t xml:space="preserve">a. Bench tops must be impervious to water and resistant to heat, organic solvents, acids, alkalis, and other chemicals. </w:t>
      </w:r>
    </w:p>
    <w:p w14:paraId="640491FB" w14:textId="77777777" w:rsidR="00A35072" w:rsidRPr="00A35072" w:rsidRDefault="00A35072" w:rsidP="00A35072">
      <w:pPr>
        <w:ind w:left="1080" w:hanging="360"/>
      </w:pPr>
      <w:r w:rsidRPr="00A35072">
        <w:t xml:space="preserve">b. Chairs used in laboratory work must be covered with a non-porous material that can be easily cleaned and decontaminated with appropriate disinfectant. </w:t>
      </w:r>
    </w:p>
    <w:p w14:paraId="1E614598" w14:textId="77777777" w:rsidR="00A35072" w:rsidRPr="00A35072" w:rsidRDefault="00A35072" w:rsidP="00A35072"/>
    <w:p w14:paraId="14B791EB"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Laboratory windows that open to the exterior are not recommended. However, if a laboratory does have windows that open to the exterior, they must be fitted with screens. </w:t>
      </w:r>
    </w:p>
    <w:p w14:paraId="6165929A" w14:textId="77777777" w:rsidR="00A35072" w:rsidRPr="00A35072" w:rsidRDefault="00A35072" w:rsidP="00A35072">
      <w:pPr>
        <w:pStyle w:val="ListParagraph"/>
        <w:rPr>
          <w:rFonts w:ascii="Arial" w:hAnsi="Arial" w:cs="Arial"/>
        </w:rPr>
      </w:pPr>
    </w:p>
    <w:p w14:paraId="10B5FA8F"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BSCs must be installed so that fluctuations of the room air supply and exhaust do not interfere with proper operations. BSCs should be located away from doors, windows that can be opened, heavily traveled laboratory areas, and other possible airflow disruptions. </w:t>
      </w:r>
    </w:p>
    <w:p w14:paraId="305A06E8" w14:textId="77777777" w:rsidR="00A35072" w:rsidRPr="00A35072" w:rsidRDefault="00A35072" w:rsidP="00A35072"/>
    <w:p w14:paraId="08C7CCA6"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Vacuum lines should be protected with liquid disinfectant traps. </w:t>
      </w:r>
    </w:p>
    <w:p w14:paraId="7402B207" w14:textId="77777777" w:rsidR="00A35072" w:rsidRPr="00A35072" w:rsidRDefault="00A35072" w:rsidP="00A35072"/>
    <w:p w14:paraId="26749973"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An eyewash station must be readily available. </w:t>
      </w:r>
    </w:p>
    <w:p w14:paraId="622FA1A0" w14:textId="77777777" w:rsidR="00A35072" w:rsidRPr="00A35072" w:rsidRDefault="00A35072" w:rsidP="00A35072"/>
    <w:p w14:paraId="58585097"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There are no specific requirements for ventilation systems. However, planning of new facilities should consider mechanical ventilation systems that provide an inward flow of air without recirculation to spaces outside of the laboratory. </w:t>
      </w:r>
    </w:p>
    <w:p w14:paraId="4F18860C" w14:textId="77777777" w:rsidR="00A35072" w:rsidRPr="00A35072" w:rsidRDefault="00A35072" w:rsidP="00A35072"/>
    <w:p w14:paraId="7ADB685A" w14:textId="77777777" w:rsidR="00A35072" w:rsidRPr="00A35072" w:rsidRDefault="00A35072" w:rsidP="00A35072">
      <w:pPr>
        <w:pStyle w:val="ListParagraph"/>
        <w:widowControl w:val="0"/>
        <w:numPr>
          <w:ilvl w:val="0"/>
          <w:numId w:val="8"/>
        </w:numPr>
        <w:autoSpaceDE w:val="0"/>
        <w:autoSpaceDN w:val="0"/>
        <w:spacing w:after="0" w:line="240" w:lineRule="auto"/>
        <w:rPr>
          <w:rFonts w:ascii="Arial" w:hAnsi="Arial" w:cs="Arial"/>
        </w:rPr>
      </w:pPr>
      <w:r w:rsidRPr="00A35072">
        <w:rPr>
          <w:rFonts w:ascii="Arial" w:hAnsi="Arial" w:cs="Arial"/>
        </w:rPr>
        <w:t xml:space="preserve">HEPA filtered exhaust air from a Class II BSC can be safely recirculation back into the laboratory environment if the cabinet is tested and certified at least annually and operated according to manufacturer’s recommendations. BSCs can also be connected to the laboratory exhaust system by either a thimble (canopy) connection or directly exhausted to the outside through a hard connection. Provisions to assure proper safety cabinet performance and air system operation must be verified. </w:t>
      </w:r>
    </w:p>
    <w:p w14:paraId="4E3F3769" w14:textId="77777777" w:rsidR="00A35072" w:rsidRPr="00A35072" w:rsidRDefault="00A35072" w:rsidP="00A35072"/>
    <w:p w14:paraId="780B09EA" w14:textId="76BFC675" w:rsidR="00A35072" w:rsidRPr="00A35072" w:rsidRDefault="00A35072" w:rsidP="00A35072">
      <w:pPr>
        <w:ind w:left="720" w:hanging="360"/>
      </w:pPr>
      <w:r w:rsidRPr="00A35072">
        <w:t xml:space="preserve">11. A method for decontaminating all laboratory wastes should be available in the facility (e.g., autoclave, chemical disinfection, incineration, or other validated decontamination method). </w:t>
      </w:r>
    </w:p>
    <w:sectPr w:rsidR="00A35072" w:rsidRPr="00A35072" w:rsidSect="008C2AD0">
      <w:footerReference w:type="even" r:id="rId9"/>
      <w:footerReference w:type="default" r:id="rId10"/>
      <w:headerReference w:type="first" r:id="rId11"/>
      <w:footerReference w:type="first" r:id="rId12"/>
      <w:pgSz w:w="12240" w:h="15840"/>
      <w:pgMar w:top="1440" w:right="1440" w:bottom="1440" w:left="144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5DF39" w14:textId="77777777" w:rsidR="00EB37D0" w:rsidRDefault="00EB37D0" w:rsidP="0001078C">
      <w:r>
        <w:separator/>
      </w:r>
    </w:p>
  </w:endnote>
  <w:endnote w:type="continuationSeparator" w:id="0">
    <w:p w14:paraId="1D219E43" w14:textId="77777777" w:rsidR="00EB37D0" w:rsidRDefault="00EB37D0" w:rsidP="000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337727"/>
      <w:docPartObj>
        <w:docPartGallery w:val="Page Numbers (Bottom of Page)"/>
        <w:docPartUnique/>
      </w:docPartObj>
    </w:sdtPr>
    <w:sdtEndPr>
      <w:rPr>
        <w:rStyle w:val="PageNumber"/>
      </w:rPr>
    </w:sdtEndPr>
    <w:sdtContent>
      <w:p w14:paraId="216B96DC" w14:textId="77777777" w:rsidR="007315D0" w:rsidRDefault="007315D0" w:rsidP="00F90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74259" w14:textId="77777777" w:rsidR="007315D0" w:rsidRDefault="007315D0" w:rsidP="0073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466628"/>
      <w:docPartObj>
        <w:docPartGallery w:val="Page Numbers (Bottom of Page)"/>
        <w:docPartUnique/>
      </w:docPartObj>
    </w:sdtPr>
    <w:sdtEndPr>
      <w:rPr>
        <w:rStyle w:val="PageNumber"/>
      </w:rPr>
    </w:sdtEndPr>
    <w:sdtContent>
      <w:p w14:paraId="0B36198E" w14:textId="2F2252E2" w:rsidR="007315D0" w:rsidRDefault="007315D0" w:rsidP="00F902D7">
        <w:pPr>
          <w:pStyle w:val="Footer"/>
          <w:framePr w:wrap="none" w:vAnchor="text" w:hAnchor="margin" w:xAlign="right" w:y="1"/>
          <w:rPr>
            <w:rStyle w:val="PageNumber"/>
          </w:rPr>
        </w:pPr>
        <w:r w:rsidRPr="007315D0">
          <w:rPr>
            <w:rStyle w:val="PageNumber"/>
            <w:rFonts w:ascii="Times New Roman" w:hAnsi="Times New Roman" w:cs="Times New Roman"/>
            <w:i/>
          </w:rPr>
          <w:fldChar w:fldCharType="begin"/>
        </w:r>
        <w:r w:rsidRPr="007315D0">
          <w:rPr>
            <w:rStyle w:val="PageNumber"/>
            <w:rFonts w:ascii="Times New Roman" w:hAnsi="Times New Roman" w:cs="Times New Roman"/>
            <w:i/>
          </w:rPr>
          <w:instrText xml:space="preserve"> PAGE </w:instrText>
        </w:r>
        <w:r w:rsidRPr="007315D0">
          <w:rPr>
            <w:rStyle w:val="PageNumber"/>
            <w:rFonts w:ascii="Times New Roman" w:hAnsi="Times New Roman" w:cs="Times New Roman"/>
            <w:i/>
          </w:rPr>
          <w:fldChar w:fldCharType="separate"/>
        </w:r>
        <w:r w:rsidR="00EC1174">
          <w:rPr>
            <w:rStyle w:val="PageNumber"/>
            <w:rFonts w:ascii="Times New Roman" w:hAnsi="Times New Roman" w:cs="Times New Roman"/>
            <w:i/>
            <w:noProof/>
          </w:rPr>
          <w:t>5</w:t>
        </w:r>
        <w:r w:rsidRPr="007315D0">
          <w:rPr>
            <w:rStyle w:val="PageNumber"/>
            <w:rFonts w:ascii="Times New Roman" w:hAnsi="Times New Roman" w:cs="Times New Roman"/>
            <w:i/>
          </w:rPr>
          <w:fldChar w:fldCharType="end"/>
        </w:r>
      </w:p>
    </w:sdtContent>
  </w:sdt>
  <w:p w14:paraId="357F0E1D" w14:textId="4D20A914" w:rsidR="007315D0" w:rsidRPr="007315D0" w:rsidRDefault="007315D0" w:rsidP="007315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A35072">
      <w:rPr>
        <w:rFonts w:ascii="Times New Roman" w:hAnsi="Times New Roman" w:cs="Times New Roman"/>
        <w:i/>
      </w:rPr>
      <w:t>BSL-2 P&amp;P</w:t>
    </w:r>
    <w:r w:rsidRPr="007315D0">
      <w:rPr>
        <w:rFonts w:ascii="Times New Roman" w:hAnsi="Times New Roman" w:cs="Times New Roman"/>
        <w: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E833" w14:textId="77777777" w:rsidR="008C2AD0" w:rsidRDefault="008C2AD0" w:rsidP="008C2AD0">
    <w:pPr>
      <w:pStyle w:val="Footer"/>
      <w:ind w:right="360"/>
      <w:rPr>
        <w:rFonts w:ascii="Times New Roman" w:hAnsi="Times New Roman" w:cs="Times New Roman"/>
        <w:i/>
      </w:rPr>
    </w:pPr>
  </w:p>
  <w:p w14:paraId="684BE71C" w14:textId="77777777" w:rsidR="008C2AD0" w:rsidRDefault="008C2AD0" w:rsidP="008C2AD0">
    <w:pPr>
      <w:pStyle w:val="Footer"/>
      <w:ind w:right="360"/>
      <w:rPr>
        <w:rFonts w:ascii="Times New Roman" w:hAnsi="Times New Roman" w:cs="Times New Roman"/>
        <w:i/>
      </w:rPr>
    </w:pPr>
  </w:p>
  <w:p w14:paraId="42EDFD4E" w14:textId="3CA93846" w:rsidR="008C2AD0" w:rsidRPr="007315D0" w:rsidRDefault="008C2AD0" w:rsidP="008C2A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A35072">
      <w:rPr>
        <w:rFonts w:ascii="Times New Roman" w:hAnsi="Times New Roman" w:cs="Times New Roman"/>
        <w:i/>
      </w:rPr>
      <w:t>BSL-2 P&amp;P</w:t>
    </w:r>
    <w:r w:rsidRPr="007315D0">
      <w:rPr>
        <w:rFonts w:ascii="Times New Roman" w:hAnsi="Times New Roman" w:cs="Times New Roman"/>
        <w:i/>
      </w:rPr>
      <w:ptab w:relativeTo="margin" w:alignment="right" w:leader="none"/>
    </w:r>
    <w:r>
      <w:rPr>
        <w:rFonts w:ascii="Times New Roman" w:hAnsi="Times New Roman" w:cs="Times New Roman"/>
        <w:i/>
      </w:rPr>
      <w:t>1</w:t>
    </w:r>
  </w:p>
  <w:p w14:paraId="3F1B74E6" w14:textId="77777777" w:rsidR="008C2AD0" w:rsidRDefault="008C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76C9" w14:textId="77777777" w:rsidR="00EB37D0" w:rsidRDefault="00EB37D0" w:rsidP="0001078C">
      <w:r>
        <w:separator/>
      </w:r>
    </w:p>
  </w:footnote>
  <w:footnote w:type="continuationSeparator" w:id="0">
    <w:p w14:paraId="12EBD242" w14:textId="77777777" w:rsidR="00EB37D0" w:rsidRDefault="00EB37D0" w:rsidP="0001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4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6248"/>
      <w:gridCol w:w="5992"/>
    </w:tblGrid>
    <w:tr w:rsidR="008C2AD0" w14:paraId="3A7D15CB" w14:textId="77777777" w:rsidTr="00460C14">
      <w:trPr>
        <w:trHeight w:val="1440"/>
      </w:trPr>
      <w:tc>
        <w:tcPr>
          <w:tcW w:w="6248" w:type="dxa"/>
          <w:shd w:val="clear" w:color="auto" w:fill="FFC000"/>
        </w:tcPr>
        <w:p w14:paraId="3E3D3848" w14:textId="77777777" w:rsidR="008C2AD0" w:rsidRDefault="008C2AD0" w:rsidP="008C2AD0">
          <w:pPr>
            <w:pBdr>
              <w:top w:val="nil"/>
              <w:left w:val="nil"/>
              <w:bottom w:val="nil"/>
              <w:right w:val="nil"/>
              <w:between w:val="nil"/>
            </w:pBdr>
            <w:spacing w:before="5"/>
            <w:ind w:left="560" w:right="-558" w:hanging="560"/>
            <w:rPr>
              <w:color w:val="000000"/>
            </w:rPr>
          </w:pPr>
        </w:p>
        <w:p w14:paraId="4DA4E6A4" w14:textId="77777777" w:rsidR="008C2AD0" w:rsidRDefault="008C2AD0" w:rsidP="008C2AD0">
          <w:pPr>
            <w:pBdr>
              <w:top w:val="nil"/>
              <w:left w:val="nil"/>
              <w:bottom w:val="nil"/>
              <w:right w:val="nil"/>
              <w:between w:val="nil"/>
            </w:pBdr>
            <w:spacing w:before="5"/>
            <w:ind w:left="523" w:right="-64"/>
            <w:jc w:val="center"/>
            <w:rPr>
              <w:color w:val="000000"/>
              <w:sz w:val="32"/>
              <w:szCs w:val="32"/>
            </w:rPr>
          </w:pPr>
          <w:r>
            <w:rPr>
              <w:noProof/>
              <w:lang w:bidi="ar-SA"/>
            </w:rPr>
            <mc:AlternateContent>
              <mc:Choice Requires="wps">
                <w:drawing>
                  <wp:anchor distT="0" distB="0" distL="114300" distR="114300" simplePos="0" relativeHeight="251661312" behindDoc="0" locked="0" layoutInCell="1" hidden="0" allowOverlap="1" wp14:anchorId="59A3D824" wp14:editId="7DA7CAEB">
                    <wp:simplePos x="0" y="0"/>
                    <wp:positionH relativeFrom="column">
                      <wp:posOffset>-235056</wp:posOffset>
                    </wp:positionH>
                    <wp:positionV relativeFrom="paragraph">
                      <wp:posOffset>152294</wp:posOffset>
                    </wp:positionV>
                    <wp:extent cx="914824" cy="282576"/>
                    <wp:effectExtent l="0" t="1588" r="11113" b="11112"/>
                    <wp:wrapNone/>
                    <wp:docPr id="1" name="Rectangle 1"/>
                    <wp:cNvGraphicFramePr/>
                    <a:graphic xmlns:a="http://schemas.openxmlformats.org/drawingml/2006/main">
                      <a:graphicData uri="http://schemas.microsoft.com/office/word/2010/wordprocessingShape">
                        <wps:wsp>
                          <wps:cNvSpPr/>
                          <wps:spPr>
                            <a:xfrm rot="16200000">
                              <a:off x="0" y="0"/>
                              <a:ext cx="914824" cy="282576"/>
                            </a:xfrm>
                            <a:prstGeom prst="rect">
                              <a:avLst/>
                            </a:prstGeom>
                            <a:solidFill>
                              <a:srgbClr val="451A0F"/>
                            </a:solidFill>
                            <a:ln w="12700" cap="flat" cmpd="sng">
                              <a:solidFill>
                                <a:srgbClr val="4472C4"/>
                              </a:solidFill>
                              <a:prstDash val="solid"/>
                              <a:round/>
                              <a:headEnd type="none" w="sm" len="sm"/>
                              <a:tailEnd type="none" w="sm" len="sm"/>
                            </a:ln>
                          </wps:spPr>
                          <wps:txbx>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A3D824" id="Rectangle 1" o:spid="_x0000_s1026" style="position:absolute;left:0;text-align:left;margin-left:-18.5pt;margin-top:12pt;width:72.05pt;height:2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" fillcolor="#451a0f" strokecolor="#4472c4" strokeweight="1pt">
                    <v:stroke startarrowwidth="narrow" startarrowlength="short" endarrowwidth="narrow" endarrowlength="short" joinstyle="round"/>
                    <v:textbox inset="0,0,0,0">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v:textbox>
                  </v:rect>
                </w:pict>
              </mc:Fallback>
            </mc:AlternateContent>
          </w:r>
          <w:r>
            <w:rPr>
              <w:b/>
              <w:noProof/>
              <w:color w:val="000000"/>
              <w:sz w:val="40"/>
              <w:szCs w:val="40"/>
              <w:lang w:bidi="ar-SA"/>
            </w:rPr>
            <w:drawing>
              <wp:inline distT="0" distB="0" distL="0" distR="0" wp14:anchorId="2920A484" wp14:editId="64541B44">
                <wp:extent cx="2443163" cy="7638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4059" cy="798473"/>
                        </a:xfrm>
                        <a:prstGeom prst="rect">
                          <a:avLst/>
                        </a:prstGeom>
                        <a:ln/>
                      </pic:spPr>
                    </pic:pic>
                  </a:graphicData>
                </a:graphic>
              </wp:inline>
            </w:drawing>
          </w:r>
        </w:p>
      </w:tc>
      <w:tc>
        <w:tcPr>
          <w:tcW w:w="5992" w:type="dxa"/>
          <w:shd w:val="clear" w:color="auto" w:fill="FFC000"/>
          <w:vAlign w:val="center"/>
        </w:tcPr>
        <w:p w14:paraId="3DA898C2" w14:textId="77777777" w:rsidR="00A35072" w:rsidRPr="00A35072" w:rsidRDefault="00A35072" w:rsidP="00A35072">
          <w:pPr>
            <w:spacing w:before="83"/>
            <w:ind w:left="66" w:right="190" w:hanging="66"/>
            <w:jc w:val="center"/>
            <w:rPr>
              <w:b/>
              <w:color w:val="461910"/>
              <w:sz w:val="10"/>
              <w:szCs w:val="10"/>
            </w:rPr>
          </w:pPr>
        </w:p>
        <w:p w14:paraId="3585BA95" w14:textId="7F6AC230" w:rsidR="00A35072" w:rsidRPr="00A35072" w:rsidRDefault="00A35072" w:rsidP="00A35072">
          <w:pPr>
            <w:spacing w:before="83"/>
            <w:ind w:left="66" w:right="190" w:hanging="66"/>
            <w:jc w:val="center"/>
            <w:rPr>
              <w:b/>
              <w:color w:val="461910"/>
              <w:sz w:val="28"/>
              <w:szCs w:val="28"/>
            </w:rPr>
          </w:pPr>
          <w:r w:rsidRPr="00A35072">
            <w:rPr>
              <w:b/>
              <w:color w:val="461910"/>
              <w:sz w:val="28"/>
              <w:szCs w:val="28"/>
            </w:rPr>
            <w:t>Biosafety Level 2</w:t>
          </w:r>
        </w:p>
        <w:p w14:paraId="4A30FC2B" w14:textId="6653B913" w:rsidR="008C2AD0" w:rsidRPr="00A35072" w:rsidRDefault="00A35072" w:rsidP="00A35072">
          <w:pPr>
            <w:spacing w:before="83"/>
            <w:ind w:left="30" w:right="523"/>
            <w:jc w:val="center"/>
            <w:rPr>
              <w:b/>
              <w:color w:val="461910"/>
              <w:sz w:val="28"/>
              <w:szCs w:val="28"/>
            </w:rPr>
          </w:pPr>
          <w:r w:rsidRPr="00A35072">
            <w:rPr>
              <w:b/>
              <w:color w:val="461910"/>
              <w:sz w:val="28"/>
              <w:szCs w:val="28"/>
            </w:rPr>
            <w:t>Practices and Procedures</w:t>
          </w:r>
        </w:p>
        <w:p w14:paraId="5446C840" w14:textId="77777777" w:rsidR="008C2AD0" w:rsidRDefault="008C2AD0" w:rsidP="008C2AD0">
          <w:pPr>
            <w:spacing w:before="83"/>
            <w:ind w:left="-48" w:right="190"/>
            <w:jc w:val="center"/>
            <w:rPr>
              <w:b/>
              <w:color w:val="461910"/>
              <w:sz w:val="10"/>
              <w:szCs w:val="10"/>
            </w:rPr>
          </w:pPr>
        </w:p>
      </w:tc>
    </w:tr>
  </w:tbl>
  <w:p w14:paraId="6BB9DEB7" w14:textId="77777777" w:rsidR="008C2AD0" w:rsidRDefault="008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A9E"/>
    <w:multiLevelType w:val="hybridMultilevel"/>
    <w:tmpl w:val="50CC0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40F4"/>
    <w:multiLevelType w:val="hybridMultilevel"/>
    <w:tmpl w:val="1E82D9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DA2567"/>
    <w:multiLevelType w:val="hybridMultilevel"/>
    <w:tmpl w:val="907A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6AEB"/>
    <w:multiLevelType w:val="hybridMultilevel"/>
    <w:tmpl w:val="2B70E0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942AB4"/>
    <w:multiLevelType w:val="hybridMultilevel"/>
    <w:tmpl w:val="A54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22B6C"/>
    <w:multiLevelType w:val="hybridMultilevel"/>
    <w:tmpl w:val="01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758D5"/>
    <w:multiLevelType w:val="hybridMultilevel"/>
    <w:tmpl w:val="38A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7532B"/>
    <w:multiLevelType w:val="hybridMultilevel"/>
    <w:tmpl w:val="435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D0186"/>
    <w:multiLevelType w:val="hybridMultilevel"/>
    <w:tmpl w:val="58DC62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C634E6"/>
    <w:multiLevelType w:val="hybridMultilevel"/>
    <w:tmpl w:val="7EC6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74D54"/>
    <w:multiLevelType w:val="hybridMultilevel"/>
    <w:tmpl w:val="C6E029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133BF0"/>
    <w:multiLevelType w:val="hybridMultilevel"/>
    <w:tmpl w:val="1944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F6286"/>
    <w:multiLevelType w:val="hybridMultilevel"/>
    <w:tmpl w:val="EF1CAD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FD721B"/>
    <w:multiLevelType w:val="hybridMultilevel"/>
    <w:tmpl w:val="69DE081C"/>
    <w:lvl w:ilvl="0" w:tplc="0409000F">
      <w:start w:val="1"/>
      <w:numFmt w:val="decimal"/>
      <w:lvlText w:val="%1."/>
      <w:lvlJc w:val="left"/>
      <w:pPr>
        <w:ind w:left="720" w:hanging="360"/>
      </w:pPr>
      <w:rPr>
        <w:rFonts w:hint="default"/>
      </w:rPr>
    </w:lvl>
    <w:lvl w:ilvl="1" w:tplc="7382AF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0"/>
  </w:num>
  <w:num w:numId="5">
    <w:abstractNumId w:val="13"/>
  </w:num>
  <w:num w:numId="6">
    <w:abstractNumId w:val="4"/>
  </w:num>
  <w:num w:numId="7">
    <w:abstractNumId w:val="2"/>
  </w:num>
  <w:num w:numId="8">
    <w:abstractNumId w:val="9"/>
  </w:num>
  <w:num w:numId="9">
    <w:abstractNumId w:val="8"/>
  </w:num>
  <w:num w:numId="10">
    <w:abstractNumId w:val="3"/>
  </w:num>
  <w:num w:numId="11">
    <w:abstractNumId w:val="12"/>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2"/>
    <w:rsid w:val="0001078C"/>
    <w:rsid w:val="0004320D"/>
    <w:rsid w:val="00094091"/>
    <w:rsid w:val="00166A93"/>
    <w:rsid w:val="002236BB"/>
    <w:rsid w:val="00284D9D"/>
    <w:rsid w:val="002B5F94"/>
    <w:rsid w:val="00421D54"/>
    <w:rsid w:val="004460C4"/>
    <w:rsid w:val="005B66AD"/>
    <w:rsid w:val="007315D0"/>
    <w:rsid w:val="007B3D47"/>
    <w:rsid w:val="008C2AD0"/>
    <w:rsid w:val="00942F69"/>
    <w:rsid w:val="00A11064"/>
    <w:rsid w:val="00A35072"/>
    <w:rsid w:val="00BE0842"/>
    <w:rsid w:val="00C35B0A"/>
    <w:rsid w:val="00D26755"/>
    <w:rsid w:val="00D37060"/>
    <w:rsid w:val="00D66FF2"/>
    <w:rsid w:val="00E87470"/>
    <w:rsid w:val="00E938AB"/>
    <w:rsid w:val="00EB37D0"/>
    <w:rsid w:val="00EC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5110"/>
  <w15:docId w15:val="{ED72D06C-3F20-4CB3-B16B-62B4C7E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BC7F53"/>
    <w:pPr>
      <w:ind w:left="560"/>
    </w:pPr>
  </w:style>
  <w:style w:type="character" w:customStyle="1" w:styleId="BodyTextChar">
    <w:name w:val="Body Text Char"/>
    <w:basedOn w:val="DefaultParagraphFont"/>
    <w:link w:val="BodyText"/>
    <w:uiPriority w:val="1"/>
    <w:rsid w:val="00BC7F53"/>
    <w:rPr>
      <w:rFonts w:ascii="Arial" w:eastAsia="Arial" w:hAnsi="Arial" w:cs="Arial"/>
      <w:sz w:val="22"/>
      <w:szCs w:val="22"/>
      <w:lang w:bidi="en-US"/>
    </w:rPr>
  </w:style>
  <w:style w:type="table" w:styleId="TableGrid">
    <w:name w:val="Table Grid"/>
    <w:basedOn w:val="TableNormal"/>
    <w:uiPriority w:val="39"/>
    <w:rsid w:val="00B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42F69"/>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01078C"/>
    <w:pPr>
      <w:tabs>
        <w:tab w:val="center" w:pos="4680"/>
        <w:tab w:val="right" w:pos="9360"/>
      </w:tabs>
    </w:pPr>
  </w:style>
  <w:style w:type="character" w:customStyle="1" w:styleId="HeaderChar">
    <w:name w:val="Header Char"/>
    <w:basedOn w:val="DefaultParagraphFont"/>
    <w:link w:val="Header"/>
    <w:uiPriority w:val="99"/>
    <w:rsid w:val="0001078C"/>
    <w:rPr>
      <w:lang w:bidi="en-US"/>
    </w:rPr>
  </w:style>
  <w:style w:type="paragraph" w:styleId="Footer">
    <w:name w:val="footer"/>
    <w:basedOn w:val="Normal"/>
    <w:link w:val="FooterChar"/>
    <w:uiPriority w:val="99"/>
    <w:unhideWhenUsed/>
    <w:rsid w:val="0001078C"/>
    <w:pPr>
      <w:tabs>
        <w:tab w:val="center" w:pos="4680"/>
        <w:tab w:val="right" w:pos="9360"/>
      </w:tabs>
    </w:pPr>
  </w:style>
  <w:style w:type="character" w:customStyle="1" w:styleId="FooterChar">
    <w:name w:val="Footer Char"/>
    <w:basedOn w:val="DefaultParagraphFont"/>
    <w:link w:val="Footer"/>
    <w:uiPriority w:val="99"/>
    <w:rsid w:val="0001078C"/>
    <w:rPr>
      <w:lang w:bidi="en-US"/>
    </w:rPr>
  </w:style>
  <w:style w:type="character" w:styleId="PageNumber">
    <w:name w:val="page number"/>
    <w:basedOn w:val="DefaultParagraphFont"/>
    <w:uiPriority w:val="99"/>
    <w:semiHidden/>
    <w:unhideWhenUsed/>
    <w:rsid w:val="007315D0"/>
  </w:style>
  <w:style w:type="character" w:styleId="Hyperlink">
    <w:name w:val="Hyperlink"/>
    <w:basedOn w:val="DefaultParagraphFont"/>
    <w:uiPriority w:val="99"/>
    <w:unhideWhenUsed/>
    <w:rsid w:val="00D26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09-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h+IlgYoghVd3O7OAWwZbOtbQ==">AMUW2mUlEOtioQbQG+RmWNcfljYzRrkjG6QAHOPMiwt9yooAi39fj8VCGUlDHJ0/IcBlz9upLY/jVYd6K9VbV5vXoMoCFnIH8aSrwxObmzY8JfoOvtWDBHpZ+H2vCUs4GMH4CZM4MrFY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2020-04-23T15:53:00Z</cp:lastPrinted>
  <dcterms:created xsi:type="dcterms:W3CDTF">2020-07-31T14:46:00Z</dcterms:created>
  <dcterms:modified xsi:type="dcterms:W3CDTF">2020-07-31T14:46:00Z</dcterms:modified>
</cp:coreProperties>
</file>